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E2" w:rsidRDefault="00454084" w:rsidP="005C5EB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Edit</w:t>
      </w:r>
      <w:r w:rsidR="00E85EA9" w:rsidRPr="00E85EA9">
        <w:rPr>
          <w:b/>
          <w:bCs/>
          <w:sz w:val="28"/>
          <w:szCs w:val="28"/>
          <w:lang w:val="en-US"/>
        </w:rPr>
        <w:t xml:space="preserve"> the following English translation </w:t>
      </w:r>
      <w:r w:rsidR="00E85EA9">
        <w:rPr>
          <w:b/>
          <w:bCs/>
          <w:sz w:val="28"/>
          <w:szCs w:val="28"/>
          <w:lang w:val="en-US"/>
        </w:rPr>
        <w:t xml:space="preserve">based on the </w:t>
      </w:r>
      <w:r w:rsidR="00E85EA9" w:rsidRPr="00E85EA9">
        <w:rPr>
          <w:b/>
          <w:bCs/>
          <w:sz w:val="28"/>
          <w:szCs w:val="28"/>
          <w:lang w:val="en-US"/>
        </w:rPr>
        <w:t>Ukrainian</w:t>
      </w:r>
      <w:r w:rsidR="00E85EA9">
        <w:rPr>
          <w:b/>
          <w:bCs/>
          <w:sz w:val="28"/>
          <w:szCs w:val="28"/>
          <w:lang w:val="en-US"/>
        </w:rPr>
        <w:t xml:space="preserve"> original</w:t>
      </w:r>
      <w:r w:rsidR="00C53CFD">
        <w:rPr>
          <w:b/>
          <w:bCs/>
          <w:sz w:val="28"/>
          <w:szCs w:val="28"/>
          <w:lang w:val="en-US"/>
        </w:rPr>
        <w:t xml:space="preserve"> (</w:t>
      </w:r>
      <w:r w:rsidR="00C53CFD" w:rsidRPr="00C53CFD">
        <w:rPr>
          <w:b/>
          <w:bCs/>
          <w:sz w:val="28"/>
          <w:szCs w:val="28"/>
          <w:lang w:val="en-US"/>
        </w:rPr>
        <w:t>„</w:t>
      </w:r>
      <w:r w:rsidR="00C53CFD">
        <w:rPr>
          <w:b/>
          <w:bCs/>
          <w:sz w:val="28"/>
          <w:szCs w:val="28"/>
          <w:lang w:val="uk-UA"/>
        </w:rPr>
        <w:t>лікарські засоби</w:t>
      </w:r>
      <w:proofErr w:type="gramStart"/>
      <w:r w:rsidR="00C53CFD" w:rsidRPr="00C53CFD">
        <w:rPr>
          <w:b/>
          <w:bCs/>
          <w:sz w:val="28"/>
          <w:szCs w:val="28"/>
          <w:lang w:val="en-US"/>
        </w:rPr>
        <w:t>“</w:t>
      </w:r>
      <w:r w:rsidR="0096404A">
        <w:rPr>
          <w:b/>
          <w:bCs/>
          <w:sz w:val="28"/>
          <w:szCs w:val="28"/>
          <w:lang w:val="uk-UA"/>
        </w:rPr>
        <w:t xml:space="preserve"> </w:t>
      </w:r>
      <w:r w:rsidR="005C5EBD">
        <w:rPr>
          <w:b/>
          <w:bCs/>
          <w:sz w:val="28"/>
          <w:szCs w:val="28"/>
          <w:lang w:val="en-US"/>
        </w:rPr>
        <w:t>to</w:t>
      </w:r>
      <w:proofErr w:type="gramEnd"/>
      <w:r w:rsidR="00B42307">
        <w:rPr>
          <w:b/>
          <w:bCs/>
          <w:sz w:val="28"/>
          <w:szCs w:val="28"/>
          <w:lang w:val="en-US"/>
        </w:rPr>
        <w:t xml:space="preserve"> </w:t>
      </w:r>
      <w:r w:rsidR="00C53CFD">
        <w:rPr>
          <w:b/>
          <w:bCs/>
          <w:sz w:val="28"/>
          <w:szCs w:val="28"/>
          <w:lang w:val="en-US"/>
        </w:rPr>
        <w:t>be translated as</w:t>
      </w:r>
      <w:r w:rsidR="00C53CFD">
        <w:rPr>
          <w:b/>
          <w:bCs/>
          <w:sz w:val="28"/>
          <w:szCs w:val="28"/>
          <w:lang w:val="uk-UA"/>
        </w:rPr>
        <w:t xml:space="preserve"> </w:t>
      </w:r>
      <w:r w:rsidR="00C53CFD" w:rsidRPr="00C53CFD">
        <w:rPr>
          <w:b/>
          <w:bCs/>
          <w:sz w:val="28"/>
          <w:szCs w:val="28"/>
          <w:lang w:val="en-US"/>
        </w:rPr>
        <w:t>„</w:t>
      </w:r>
      <w:r w:rsidR="00C53CFD">
        <w:rPr>
          <w:b/>
          <w:bCs/>
          <w:sz w:val="28"/>
          <w:szCs w:val="28"/>
          <w:lang w:val="en-US"/>
        </w:rPr>
        <w:t>medicinal products”)</w:t>
      </w:r>
      <w:r w:rsidR="00E85EA9">
        <w:rPr>
          <w:b/>
          <w:bCs/>
          <w:sz w:val="28"/>
          <w:szCs w:val="28"/>
          <w:lang w:val="en-US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EA9" w:rsidRPr="00FD28BF" w:rsidTr="00B901B3">
        <w:tc>
          <w:tcPr>
            <w:tcW w:w="4785" w:type="dxa"/>
          </w:tcPr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Лікарські засоби, що належать до отруйних речовин, у тому числі продукти біотехнології та біологічні агенти (вакцини, сироватки), антибіотики, знищуються у спеціально відведених місцях (полігонах) чи на об'єктах поводження з відходами за умови дотримання санітарних норм і наявності дозволу органів державної санітарно-епідеміологічної служби, а також з дозволу спеціально вповноважених на те органів виконавчої влади відповідно до постанови КМУ «Про затвердження Порядку одержання дозволу на виробництво, зберігання, транспортування, використання, захоронення, знищення та утилізацію отруйних речовин, у тому числі продуктів біотехнології та інших біологічних агентів» від 20.06.1995 № 440 та згідно з Правилами.</w:t>
            </w:r>
          </w:p>
          <w:p w:rsidR="00E85EA9" w:rsidRPr="00B901B3" w:rsidRDefault="00E85EA9" w:rsidP="00B901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901B3" w:rsidRPr="00B901B3" w:rsidRDefault="00B901B3" w:rsidP="000733A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Medicinal products that belong to toxic substances, including 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biotechnology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products and </w:t>
            </w:r>
            <w:bookmarkStart w:id="0" w:name="_GoBack"/>
            <w:bookmarkEnd w:id="0"/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biological agents (vaccines, ser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well as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antibiotics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shall be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destroyed in specially designated areas (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landfills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or on waste management sites subject to the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sanitation standards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073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authoriz</w:t>
            </w:r>
            <w:r w:rsidR="000733AD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by the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tate Sanita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="00402356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pidemiological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Department</w:t>
            </w:r>
            <w:r w:rsidR="00073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well as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3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competent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executive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authorities</w:t>
            </w:r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to CMU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esolution "On approval of </w:t>
            </w:r>
            <w:r w:rsidR="004023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Procedure for Obtaining Authorization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manufactur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, storage, transport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ation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use, disposal, destruction and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recycling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toxic substances, including biotechnology products and other biological agents" </w:t>
            </w:r>
            <w:r w:rsidR="00CF1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20.06.1995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No.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  <w:r w:rsidR="00CF19D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 accordance with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Rules.</w:t>
            </w:r>
          </w:p>
          <w:p w:rsidR="00E85EA9" w:rsidRPr="00B901B3" w:rsidRDefault="00E85EA9" w:rsidP="00C53C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1B3" w:rsidRPr="00FD28BF" w:rsidTr="00B901B3">
        <w:tc>
          <w:tcPr>
            <w:tcW w:w="4785" w:type="dxa"/>
          </w:tcPr>
          <w:p w:rsidR="00B42307" w:rsidRPr="005C5EBD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Для знищення неякісних лікарських засобів застосовують такі методи: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інкапсуляція;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інертизація</w:t>
            </w:r>
            <w:proofErr w:type="spellEnd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термічні методи (високотемпературне спалювання, піроліз);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хімічна нейтралізація;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автоклавування</w:t>
            </w:r>
            <w:proofErr w:type="spellEnd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препаратів, що містять живі клітини та спори мікроорганізмів); </w:t>
            </w:r>
          </w:p>
          <w:p w:rsidR="00B901B3" w:rsidRPr="005C5EBD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розведення водою та злив до комунального колектора (може бути застосований для малотоксичних відходів рідких лікарських засобів). </w:t>
            </w:r>
          </w:p>
          <w:p w:rsidR="00B42307" w:rsidRPr="005C5EBD" w:rsidRDefault="00B42307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Факт знищення відходів лікарських засобів оформлюється актом за зразком, наведеним у додатку до Правил. Копія акта в двотижневий строк направляється до органу державного контролю лікарських засобів, за рішенням якого лікарський засіб було вилучено з обігу.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901B3" w:rsidRDefault="00805BB5" w:rsidP="00805BB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destr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oy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sub</w:t>
            </w:r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standard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medicin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 products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following methods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shall be used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42307" w:rsidRPr="00B901B3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1B3" w:rsidRPr="00B901B3" w:rsidRDefault="00CF19D9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ncapsulation;</w:t>
            </w:r>
          </w:p>
          <w:p w:rsidR="00B901B3" w:rsidRPr="00B901B3" w:rsidRDefault="00CF19D9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nert</w:t>
            </w:r>
            <w:r w:rsidR="00B901B3">
              <w:rPr>
                <w:rFonts w:ascii="Times New Roman" w:hAnsi="Times New Roman"/>
                <w:sz w:val="24"/>
                <w:szCs w:val="24"/>
                <w:lang w:val="en-US"/>
              </w:rPr>
              <w:t>ization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901B3" w:rsidRPr="00B901B3" w:rsidRDefault="00CF19D9" w:rsidP="00805B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hermal </w:t>
            </w:r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methods (high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temperature incineration, pyrolysis);</w:t>
            </w:r>
          </w:p>
          <w:p w:rsidR="00B901B3" w:rsidRPr="00B901B3" w:rsidRDefault="00CF19D9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hemical neutralization;</w:t>
            </w:r>
          </w:p>
          <w:p w:rsidR="00B901B3" w:rsidRPr="00B901B3" w:rsidRDefault="00CF19D9" w:rsidP="00805B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utoclaving (for products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contain living cells and spores of microorganisms);</w:t>
            </w:r>
          </w:p>
          <w:p w:rsidR="00B901B3" w:rsidRDefault="00CF19D9" w:rsidP="00CF1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ilution and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discharge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(can be applied to low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toxic waste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liquid 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medicin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al product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42307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07" w:rsidRPr="00B901B3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1B3" w:rsidRPr="00B901B3" w:rsidRDefault="000733AD" w:rsidP="000733A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 event of d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estruction of waste 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medicin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al product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shall be evidenced by 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ertificate issued </w:t>
            </w:r>
            <w:r w:rsidR="00C53CFD">
              <w:rPr>
                <w:rFonts w:ascii="Times New Roman" w:hAnsi="Times New Roman"/>
                <w:sz w:val="24"/>
                <w:szCs w:val="24"/>
                <w:lang w:val="en-US"/>
              </w:rPr>
              <w:t>according to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form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provided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ppendix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Rules. A copy of the </w:t>
            </w:r>
            <w:r w:rsidR="00805BB5">
              <w:rPr>
                <w:rFonts w:ascii="Times New Roman" w:hAnsi="Times New Roman"/>
                <w:sz w:val="24"/>
                <w:szCs w:val="24"/>
                <w:lang w:val="en-US"/>
              </w:rPr>
              <w:t>Certificate</w:t>
            </w:r>
            <w:r w:rsidR="00805BB5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shall be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sent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within two weeks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state </w:t>
            </w:r>
            <w:r w:rsidR="00C53CFD">
              <w:rPr>
                <w:rFonts w:ascii="Times New Roman" w:hAnsi="Times New Roman"/>
                <w:sz w:val="24"/>
                <w:szCs w:val="24"/>
                <w:lang w:val="en-US"/>
              </w:rPr>
              <w:t>agency</w:t>
            </w:r>
            <w:r w:rsidR="00C53CFD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 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control of 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medicin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 products, which has decided on recalling the relevant product from the market.</w:t>
            </w:r>
          </w:p>
          <w:p w:rsidR="00B901B3" w:rsidRPr="00B901B3" w:rsidRDefault="00B901B3" w:rsidP="00C53CF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85EA9" w:rsidRPr="00B901B3" w:rsidRDefault="00E85EA9" w:rsidP="00E85EA9">
      <w:pPr>
        <w:rPr>
          <w:sz w:val="28"/>
          <w:szCs w:val="28"/>
          <w:lang w:val="en-US"/>
        </w:rPr>
      </w:pPr>
    </w:p>
    <w:sectPr w:rsidR="00E85EA9" w:rsidRPr="00B9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E0"/>
    <w:rsid w:val="000733AD"/>
    <w:rsid w:val="000A1E0B"/>
    <w:rsid w:val="00402356"/>
    <w:rsid w:val="00454084"/>
    <w:rsid w:val="005C5EBD"/>
    <w:rsid w:val="007425D0"/>
    <w:rsid w:val="00805BB5"/>
    <w:rsid w:val="0096404A"/>
    <w:rsid w:val="009D57EF"/>
    <w:rsid w:val="00A834C8"/>
    <w:rsid w:val="00B42307"/>
    <w:rsid w:val="00B901B3"/>
    <w:rsid w:val="00BC47E3"/>
    <w:rsid w:val="00C53CFD"/>
    <w:rsid w:val="00C571E0"/>
    <w:rsid w:val="00CF19D9"/>
    <w:rsid w:val="00E755C6"/>
    <w:rsid w:val="00E85EA9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B901B3"/>
  </w:style>
  <w:style w:type="paragraph" w:styleId="a4">
    <w:name w:val="Balloon Text"/>
    <w:basedOn w:val="a"/>
    <w:link w:val="a5"/>
    <w:uiPriority w:val="99"/>
    <w:semiHidden/>
    <w:unhideWhenUsed/>
    <w:rsid w:val="0040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B901B3"/>
  </w:style>
  <w:style w:type="paragraph" w:styleId="a4">
    <w:name w:val="Balloon Text"/>
    <w:basedOn w:val="a"/>
    <w:link w:val="a5"/>
    <w:uiPriority w:val="99"/>
    <w:semiHidden/>
    <w:unhideWhenUsed/>
    <w:rsid w:val="0040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39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00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Bassok</dc:creator>
  <cp:lastModifiedBy>Veronika Bassok</cp:lastModifiedBy>
  <cp:revision>3</cp:revision>
  <dcterms:created xsi:type="dcterms:W3CDTF">2014-02-26T15:47:00Z</dcterms:created>
  <dcterms:modified xsi:type="dcterms:W3CDTF">2014-02-26T15:47:00Z</dcterms:modified>
</cp:coreProperties>
</file>