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0F" w:rsidRPr="00D97A0F" w:rsidRDefault="00D97A0F" w:rsidP="00D97A0F">
      <w:r w:rsidRPr="00D97A0F">
        <w:t>УДК 343.13(043.2)</w:t>
      </w:r>
    </w:p>
    <w:p w:rsidR="00D97A0F" w:rsidRPr="00D97A0F" w:rsidRDefault="00D97A0F" w:rsidP="00D97A0F">
      <w:r w:rsidRPr="00D97A0F">
        <w:rPr>
          <w:rFonts w:hint="eastAsia"/>
        </w:rPr>
        <w:t>Бондаренко</w:t>
      </w:r>
      <w:r w:rsidRPr="00D97A0F">
        <w:t xml:space="preserve"> </w:t>
      </w:r>
      <w:r w:rsidRPr="00D97A0F">
        <w:rPr>
          <w:rFonts w:hint="eastAsia"/>
        </w:rPr>
        <w:t>Д</w:t>
      </w:r>
      <w:r w:rsidRPr="00D97A0F">
        <w:t xml:space="preserve">. </w:t>
      </w:r>
      <w:r w:rsidRPr="00D97A0F">
        <w:rPr>
          <w:rFonts w:hint="eastAsia"/>
        </w:rPr>
        <w:t>Ю</w:t>
      </w:r>
      <w:r w:rsidRPr="00D97A0F">
        <w:t>., студентка,</w:t>
      </w:r>
    </w:p>
    <w:p w:rsidR="00D97A0F" w:rsidRPr="00D97A0F" w:rsidRDefault="00D97A0F" w:rsidP="00D97A0F">
      <w:r w:rsidRPr="00D97A0F">
        <w:t>Юридичний інститут,</w:t>
      </w:r>
    </w:p>
    <w:p w:rsidR="00D97A0F" w:rsidRPr="00D97A0F" w:rsidRDefault="00D97A0F" w:rsidP="00D97A0F">
      <w:r w:rsidRPr="00D97A0F">
        <w:t>Національний авіаційний університет, м. Київ</w:t>
      </w:r>
    </w:p>
    <w:p w:rsidR="00D97A0F" w:rsidRPr="00D97A0F" w:rsidRDefault="00D97A0F" w:rsidP="00D97A0F">
      <w:r w:rsidRPr="00D97A0F">
        <w:t>Науковий керівник: Терещенко Н. М., старший викладач</w:t>
      </w:r>
    </w:p>
    <w:p w:rsidR="00D97A0F" w:rsidRPr="00D97A0F" w:rsidRDefault="00D97A0F" w:rsidP="00D97A0F">
      <w:r w:rsidRPr="00D97A0F">
        <w:rPr>
          <w:rFonts w:hint="eastAsia"/>
        </w:rPr>
        <w:t>ДОТРИМАННЯ</w:t>
      </w:r>
      <w:r w:rsidRPr="00D97A0F">
        <w:t xml:space="preserve"> </w:t>
      </w:r>
      <w:r w:rsidRPr="00D97A0F">
        <w:rPr>
          <w:rFonts w:hint="eastAsia"/>
        </w:rPr>
        <w:t>ПРИНЦИПУ</w:t>
      </w:r>
      <w:r w:rsidRPr="00D97A0F">
        <w:t xml:space="preserve"> </w:t>
      </w:r>
      <w:r w:rsidRPr="00D97A0F">
        <w:rPr>
          <w:rFonts w:hint="eastAsia"/>
        </w:rPr>
        <w:t>НОРМАТИВНОЇ</w:t>
      </w:r>
      <w:r w:rsidRPr="00D97A0F">
        <w:t xml:space="preserve"> </w:t>
      </w:r>
      <w:r w:rsidRPr="00D97A0F">
        <w:rPr>
          <w:rFonts w:hint="eastAsia"/>
        </w:rPr>
        <w:t>ВИЗНАЧЕНОСТІ</w:t>
      </w:r>
      <w:r w:rsidRPr="00D97A0F">
        <w:t xml:space="preserve"> </w:t>
      </w:r>
      <w:r w:rsidRPr="00D97A0F">
        <w:rPr>
          <w:rFonts w:hint="eastAsia"/>
        </w:rPr>
        <w:t>ЯК</w:t>
      </w:r>
    </w:p>
    <w:p w:rsidR="00D97A0F" w:rsidRPr="00D97A0F" w:rsidRDefault="00D97A0F" w:rsidP="00D97A0F">
      <w:r w:rsidRPr="00D97A0F">
        <w:rPr>
          <w:rFonts w:hint="eastAsia"/>
        </w:rPr>
        <w:t>ВАЖЛИВИЙ</w:t>
      </w:r>
      <w:r w:rsidRPr="00D97A0F">
        <w:t xml:space="preserve"> </w:t>
      </w:r>
      <w:r w:rsidRPr="00D97A0F">
        <w:rPr>
          <w:rFonts w:hint="eastAsia"/>
        </w:rPr>
        <w:t>ЕЛЕМЕНТ</w:t>
      </w:r>
      <w:r w:rsidRPr="00D97A0F">
        <w:t xml:space="preserve"> </w:t>
      </w:r>
      <w:r w:rsidRPr="00D97A0F">
        <w:rPr>
          <w:rFonts w:hint="eastAsia"/>
        </w:rPr>
        <w:t>ЗАБЕЗПЕЧЕННЯ</w:t>
      </w:r>
      <w:r w:rsidRPr="00D97A0F">
        <w:t xml:space="preserve"> </w:t>
      </w:r>
      <w:r w:rsidRPr="00D97A0F">
        <w:rPr>
          <w:rFonts w:hint="eastAsia"/>
        </w:rPr>
        <w:t>АВІАЦІЙНОЇ</w:t>
      </w:r>
      <w:r w:rsidRPr="00D97A0F">
        <w:t xml:space="preserve"> </w:t>
      </w:r>
      <w:r w:rsidRPr="00D97A0F">
        <w:rPr>
          <w:rFonts w:hint="eastAsia"/>
        </w:rPr>
        <w:t>БЕЗПЕКИ</w:t>
      </w:r>
    </w:p>
    <w:p w:rsidR="00D97A0F" w:rsidRPr="00D97A0F" w:rsidRDefault="00D97A0F" w:rsidP="00D97A0F">
      <w:r w:rsidRPr="00D97A0F">
        <w:t>Ефективність практичної реалізації юридичних норм перебуває у прямій</w:t>
      </w:r>
    </w:p>
    <w:p w:rsidR="00D97A0F" w:rsidRPr="00D97A0F" w:rsidRDefault="00D97A0F" w:rsidP="00D97A0F">
      <w:r w:rsidRPr="00D97A0F">
        <w:t>залежності від ступеня дотримання законодавцем у процесі нормотворення</w:t>
      </w:r>
    </w:p>
    <w:p w:rsidR="00D97A0F" w:rsidRPr="00D97A0F" w:rsidRDefault="00D97A0F" w:rsidP="00D97A0F">
      <w:r w:rsidRPr="00D97A0F">
        <w:t>основоположних принципів права, зокрема принципу нормативної</w:t>
      </w:r>
    </w:p>
    <w:p w:rsidR="00D97A0F" w:rsidRPr="00D97A0F" w:rsidRDefault="00D97A0F" w:rsidP="00D97A0F">
      <w:r w:rsidRPr="00D97A0F">
        <w:t>визначеності (що передбачає чіткість, зрозумілість та однозначність</w:t>
      </w:r>
    </w:p>
    <w:p w:rsidR="00D97A0F" w:rsidRPr="00D97A0F" w:rsidRDefault="00D97A0F" w:rsidP="00D97A0F">
      <w:r w:rsidRPr="00D97A0F">
        <w:t>формулювання правової норми). Численні прогалини та колізії у</w:t>
      </w:r>
    </w:p>
    <w:p w:rsidR="00D97A0F" w:rsidRPr="00D97A0F" w:rsidRDefault="00D97A0F" w:rsidP="00D97A0F">
      <w:r w:rsidRPr="00D97A0F">
        <w:t>вітчизняному законодавстві створюють істотні передумови проблем</w:t>
      </w:r>
    </w:p>
    <w:p w:rsidR="00D97A0F" w:rsidRPr="00D97A0F" w:rsidRDefault="00D97A0F" w:rsidP="00D97A0F">
      <w:r w:rsidRPr="00D97A0F">
        <w:t>правозастосування. Не виключенням є і сфера регулювання суспільних</w:t>
      </w:r>
    </w:p>
    <w:p w:rsidR="00D97A0F" w:rsidRPr="00D97A0F" w:rsidRDefault="00D97A0F" w:rsidP="00D97A0F">
      <w:r w:rsidRPr="00D97A0F">
        <w:t>відносин, що виникають в галузі цивільної авіації.</w:t>
      </w:r>
    </w:p>
    <w:p w:rsidR="00D97A0F" w:rsidRPr="00D97A0F" w:rsidRDefault="00D97A0F" w:rsidP="00D97A0F">
      <w:r w:rsidRPr="00D97A0F">
        <w:t>Варто звернути увагу хоча б на те, що у чинних нормативно-правових</w:t>
      </w:r>
    </w:p>
    <w:p w:rsidR="00D97A0F" w:rsidRPr="00D97A0F" w:rsidRDefault="00D97A0F" w:rsidP="00D97A0F">
      <w:r w:rsidRPr="00D97A0F">
        <w:t>актах відсутнє єдине визначення поняття «авіаційна безпека»: так, у ст. 1</w:t>
      </w:r>
    </w:p>
    <w:p w:rsidR="00D97A0F" w:rsidRPr="00D97A0F" w:rsidRDefault="00D97A0F" w:rsidP="00D97A0F">
      <w:r w:rsidRPr="00D97A0F">
        <w:t>Повітряного кодексу України його визначено як «захист цивільної авіації</w:t>
      </w:r>
    </w:p>
    <w:p w:rsidR="00D97A0F" w:rsidRPr="00D97A0F" w:rsidRDefault="00D97A0F" w:rsidP="00D97A0F">
      <w:r w:rsidRPr="00D97A0F">
        <w:t>від актів незаконного втручання, який забезпечується комплексом заходів із</w:t>
      </w:r>
    </w:p>
    <w:p w:rsidR="00D97A0F" w:rsidRPr="00D97A0F" w:rsidRDefault="00D97A0F" w:rsidP="00D97A0F">
      <w:r w:rsidRPr="00D97A0F">
        <w:t>залученням людських і матеріальних ресурсів» [3]. В той же час у ч. 3</w:t>
      </w:r>
    </w:p>
    <w:p w:rsidR="00D97A0F" w:rsidRPr="00D97A0F" w:rsidRDefault="00D97A0F" w:rsidP="00D97A0F">
      <w:r w:rsidRPr="00D97A0F">
        <w:t>Закону «Про державну програму авіаційної безпеки цивільної авіації» цей</w:t>
      </w:r>
    </w:p>
    <w:p w:rsidR="00D97A0F" w:rsidRPr="00D97A0F" w:rsidRDefault="00D97A0F" w:rsidP="00D97A0F">
      <w:r w:rsidRPr="00D97A0F">
        <w:t>термін визначається як «комплекс заходів, а також людські та матеріальні</w:t>
      </w:r>
    </w:p>
    <w:p w:rsidR="00D97A0F" w:rsidRPr="00D97A0F" w:rsidRDefault="00D97A0F" w:rsidP="00D97A0F">
      <w:r w:rsidRPr="00D97A0F">
        <w:t>ресурси, призначені для захисту цивільної авіації від актів незаконного</w:t>
      </w:r>
    </w:p>
    <w:p w:rsidR="00D97A0F" w:rsidRPr="00D97A0F" w:rsidRDefault="00D97A0F" w:rsidP="00D97A0F">
      <w:r w:rsidRPr="00D97A0F">
        <w:t>втручання в її діяльність» [4]. З одного боку, правило вирішення</w:t>
      </w:r>
    </w:p>
    <w:p w:rsidR="00D97A0F" w:rsidRPr="00D97A0F" w:rsidRDefault="00D97A0F" w:rsidP="00D97A0F">
      <w:r w:rsidRPr="00D97A0F">
        <w:t>конкуренції норм каже про перевагу спеціального закону над загальним</w:t>
      </w:r>
    </w:p>
    <w:p w:rsidR="00D97A0F" w:rsidRPr="00D97A0F" w:rsidRDefault="00D97A0F" w:rsidP="00D97A0F">
      <w:r w:rsidRPr="00D97A0F">
        <w:t>(тобто Закону над Кодексом), з іншого – загальний закон, прийнятий</w:t>
      </w:r>
    </w:p>
    <w:p w:rsidR="00D97A0F" w:rsidRPr="00D97A0F" w:rsidRDefault="00D97A0F" w:rsidP="00D97A0F">
      <w:r w:rsidRPr="00D97A0F">
        <w:t>пізніше, має перевагу над спеціальним… Отже, виникає колізія у</w:t>
      </w:r>
    </w:p>
    <w:p w:rsidR="00D97A0F" w:rsidRPr="00D97A0F" w:rsidRDefault="00D97A0F" w:rsidP="00D97A0F">
      <w:r w:rsidRPr="00D97A0F">
        <w:lastRenderedPageBreak/>
        <w:t>праворозумінні базового елементу авіаційної безпеки, а саме визначення</w:t>
      </w:r>
    </w:p>
    <w:p w:rsidR="00D97A0F" w:rsidRPr="00D97A0F" w:rsidRDefault="00D97A0F" w:rsidP="00D97A0F">
      <w:r w:rsidRPr="00D97A0F">
        <w:t>сутності цього поняття. Тому, не дивно, що питання диференціації</w:t>
      </w:r>
    </w:p>
    <w:p w:rsidR="00D97A0F" w:rsidRPr="00D97A0F" w:rsidRDefault="00D97A0F" w:rsidP="00D97A0F">
      <w:r w:rsidRPr="00D97A0F">
        <w:t>відповідальності за правопорушення на авіаційному транспорті також</w:t>
      </w:r>
    </w:p>
    <w:p w:rsidR="00D97A0F" w:rsidRPr="00D97A0F" w:rsidRDefault="00D97A0F" w:rsidP="00D97A0F">
      <w:r w:rsidRPr="00D97A0F">
        <w:t>залишається доволі дискусійним та неоднозначним.</w:t>
      </w:r>
    </w:p>
    <w:p w:rsidR="00D97A0F" w:rsidRPr="00D97A0F" w:rsidRDefault="00D97A0F" w:rsidP="00D97A0F">
      <w:r w:rsidRPr="00D97A0F">
        <w:t>Кодексом України про адміністративні правопорушення (далі – КУпАП)</w:t>
      </w:r>
    </w:p>
    <w:p w:rsidR="00D97A0F" w:rsidRPr="00D97A0F" w:rsidRDefault="00D97A0F" w:rsidP="00D97A0F">
      <w:r w:rsidRPr="00D97A0F">
        <w:t>визначено, що адміністративна відповідальність настає за правопорушення,</w:t>
      </w:r>
    </w:p>
    <w:p w:rsidR="00D97A0F" w:rsidRPr="00D97A0F" w:rsidRDefault="00D97A0F" w:rsidP="00D97A0F">
      <w:r w:rsidRPr="00D97A0F">
        <w:t>передбачені цим Кодексом, якщо останні за своїм характером не тягнуть за</w:t>
      </w:r>
    </w:p>
    <w:p w:rsidR="00D97A0F" w:rsidRPr="00D97A0F" w:rsidRDefault="00D97A0F" w:rsidP="00D97A0F">
      <w:r w:rsidRPr="00D97A0F">
        <w:t>собою кримінальної відповідальності (ч. 2 ст. 9) [2]. Проте, звертаючись,</w:t>
      </w:r>
    </w:p>
    <w:p w:rsidR="00D97A0F" w:rsidRPr="00D97A0F" w:rsidRDefault="00D97A0F" w:rsidP="00D97A0F">
      <w:r w:rsidRPr="00D97A0F">
        <w:t>наприклад, до ст. 113 КУпАП та ст. 334 Кримінального кодексу України (далі</w:t>
      </w:r>
    </w:p>
    <w:p w:rsidR="00D97A0F" w:rsidRPr="00D97A0F" w:rsidRDefault="00D97A0F" w:rsidP="00D97A0F">
      <w:r w:rsidRPr="00D97A0F">
        <w:t>– ККУ) [1] бачимо певну колізію, що виникла внаслідок недотримання</w:t>
      </w:r>
    </w:p>
    <w:p w:rsidR="00D97A0F" w:rsidRPr="00D97A0F" w:rsidRDefault="00D97A0F" w:rsidP="00D97A0F">
      <w:r w:rsidRPr="00D97A0F">
        <w:t>принципу чіткості та конкретності формулювання правової норми: обидва</w:t>
      </w:r>
    </w:p>
    <w:p w:rsidR="00D97A0F" w:rsidRPr="00D97A0F" w:rsidRDefault="00D97A0F" w:rsidP="00D97A0F">
      <w:r w:rsidRPr="00D97A0F">
        <w:t>кодекси містять абсолютно однакові назви статей – «Порушення правил</w:t>
      </w:r>
    </w:p>
    <w:p w:rsidR="00D97A0F" w:rsidRPr="00D97A0F" w:rsidRDefault="00D97A0F" w:rsidP="00D97A0F">
      <w:r w:rsidRPr="00D97A0F">
        <w:t>435</w:t>
      </w:r>
    </w:p>
    <w:p w:rsidR="00D97A0F" w:rsidRPr="00D97A0F" w:rsidRDefault="00D97A0F" w:rsidP="00D97A0F">
      <w:r w:rsidRPr="00D97A0F">
        <w:t>міжнародних польотів», але структура правової норми в них дещо різниться.</w:t>
      </w:r>
    </w:p>
    <w:p w:rsidR="00D97A0F" w:rsidRPr="00D97A0F" w:rsidRDefault="00D97A0F" w:rsidP="00D97A0F">
      <w:r w:rsidRPr="00D97A0F">
        <w:t>Якщо диспозицію ст. 334 ККУ можна назвати описовою (адже одразу дається</w:t>
      </w:r>
    </w:p>
    <w:p w:rsidR="00D97A0F" w:rsidRPr="00D97A0F" w:rsidRDefault="00D97A0F" w:rsidP="00D97A0F">
      <w:r w:rsidRPr="00D97A0F">
        <w:t>пояснення, що розуміється під порушенням таких правил: «вліт в Україну</w:t>
      </w:r>
    </w:p>
    <w:p w:rsidR="00D97A0F" w:rsidRPr="00D97A0F" w:rsidRDefault="00D97A0F" w:rsidP="00D97A0F">
      <w:r w:rsidRPr="00D97A0F">
        <w:t>або виліт з України без відповідного дозволу, а також недодержання</w:t>
      </w:r>
    </w:p>
    <w:p w:rsidR="00D97A0F" w:rsidRPr="00D97A0F" w:rsidRDefault="00D97A0F" w:rsidP="00D97A0F">
      <w:r w:rsidRPr="00D97A0F">
        <w:t>зазначених у дозволі маршрутів, місць посадки, повітряних трас, коридорів</w:t>
      </w:r>
    </w:p>
    <w:p w:rsidR="00D97A0F" w:rsidRPr="00D97A0F" w:rsidRDefault="00D97A0F" w:rsidP="00D97A0F">
      <w:r w:rsidRPr="00D97A0F">
        <w:t>або ешелонів»), то диспозиція однойменної статті КУпАП (ст. 113) є</w:t>
      </w:r>
    </w:p>
    <w:p w:rsidR="00D97A0F" w:rsidRPr="00D97A0F" w:rsidRDefault="00D97A0F" w:rsidP="00D97A0F">
      <w:r w:rsidRPr="00D97A0F">
        <w:t>«найпростішою» з простих – в точності відтворює назву статті, при цьому не</w:t>
      </w:r>
    </w:p>
    <w:p w:rsidR="00D97A0F" w:rsidRPr="00D97A0F" w:rsidRDefault="00D97A0F" w:rsidP="00D97A0F">
      <w:r w:rsidRPr="00D97A0F">
        <w:t>даючи жодних пояснень щодо тлумачення ознак даного правопорушення.</w:t>
      </w:r>
    </w:p>
    <w:p w:rsidR="00D97A0F" w:rsidRPr="00D97A0F" w:rsidRDefault="00D97A0F" w:rsidP="00D97A0F">
      <w:r w:rsidRPr="00D97A0F">
        <w:t>Таким чином не визначається склад діянь, вчинення яких було б підставою</w:t>
      </w:r>
    </w:p>
    <w:p w:rsidR="00D97A0F" w:rsidRPr="00D97A0F" w:rsidRDefault="00D97A0F" w:rsidP="00D97A0F">
      <w:r w:rsidRPr="00D97A0F">
        <w:t>для притягнення осіб до адміністративної відповідальності.</w:t>
      </w:r>
    </w:p>
    <w:p w:rsidR="00D97A0F" w:rsidRPr="00D97A0F" w:rsidRDefault="00D97A0F" w:rsidP="00D97A0F">
      <w:r w:rsidRPr="00D97A0F">
        <w:t>Звичайно, юридично освічена людина може звернутися до науково-</w:t>
      </w:r>
    </w:p>
    <w:p w:rsidR="00D97A0F" w:rsidRPr="00D97A0F" w:rsidRDefault="00D97A0F" w:rsidP="00D97A0F">
      <w:r w:rsidRPr="00D97A0F">
        <w:t>практичного коментаря, аби прояснити для себе склад даного</w:t>
      </w:r>
    </w:p>
    <w:p w:rsidR="00D97A0F" w:rsidRPr="00D97A0F" w:rsidRDefault="00D97A0F" w:rsidP="00D97A0F">
      <w:r w:rsidRPr="00D97A0F">
        <w:t>адміністративного правопорушення, але він не є нормативним джерелом, тому</w:t>
      </w:r>
    </w:p>
    <w:p w:rsidR="00D97A0F" w:rsidRPr="00D97A0F" w:rsidRDefault="00D97A0F" w:rsidP="00D97A0F">
      <w:r w:rsidRPr="00D97A0F">
        <w:t>трактування норми цієї статті є проявом суб’єктивної точки зору фахівців-</w:t>
      </w:r>
    </w:p>
    <w:p w:rsidR="00D97A0F" w:rsidRPr="00D97A0F" w:rsidRDefault="00D97A0F" w:rsidP="00D97A0F">
      <w:r w:rsidRPr="00D97A0F">
        <w:t>науковців – авторів відповідного видання. Така правова колізія є підґрунтям</w:t>
      </w:r>
    </w:p>
    <w:p w:rsidR="00D97A0F" w:rsidRPr="00D97A0F" w:rsidRDefault="00D97A0F" w:rsidP="00D97A0F">
      <w:r w:rsidRPr="00D97A0F">
        <w:t>для зловживання правом з боку суб’єктів, зацікавлених в обранні саме</w:t>
      </w:r>
    </w:p>
    <w:p w:rsidR="00D97A0F" w:rsidRPr="00D97A0F" w:rsidRDefault="00D97A0F" w:rsidP="00D97A0F">
      <w:r w:rsidRPr="00D97A0F">
        <w:lastRenderedPageBreak/>
        <w:t>адміністративної відповідальності як засобу державного примусу за вчинене</w:t>
      </w:r>
    </w:p>
    <w:p w:rsidR="00D97A0F" w:rsidRPr="00D97A0F" w:rsidRDefault="00D97A0F" w:rsidP="00D97A0F">
      <w:r w:rsidRPr="00D97A0F">
        <w:t>протиправне діяння. Адже, виходячи із теорії, відомо, що заходи</w:t>
      </w:r>
    </w:p>
    <w:p w:rsidR="00D97A0F" w:rsidRPr="00D97A0F" w:rsidRDefault="00D97A0F" w:rsidP="00D97A0F">
      <w:r w:rsidRPr="00D97A0F">
        <w:t>адміністративної відповідальності, а також наслідки притягнення до неї є</w:t>
      </w:r>
    </w:p>
    <w:p w:rsidR="00D97A0F" w:rsidRPr="00D97A0F" w:rsidRDefault="00D97A0F" w:rsidP="00D97A0F">
      <w:r w:rsidRPr="00D97A0F">
        <w:t>більш м’якими у порівнянні з кримінальною. Головним аспектом даної</w:t>
      </w:r>
    </w:p>
    <w:p w:rsidR="00D97A0F" w:rsidRPr="00D97A0F" w:rsidRDefault="00D97A0F" w:rsidP="00D97A0F">
      <w:r w:rsidRPr="00D97A0F">
        <w:t>проблеми є можливість варіювання виду і розміру санкцій, що</w:t>
      </w:r>
    </w:p>
    <w:p w:rsidR="00D97A0F" w:rsidRPr="00D97A0F" w:rsidRDefault="00D97A0F" w:rsidP="00D97A0F">
      <w:r w:rsidRPr="00D97A0F">
        <w:t>застосовуватимуться до порушника. Зокрема, санкція ст. 113 КУпАП</w:t>
      </w:r>
    </w:p>
    <w:p w:rsidR="00D97A0F" w:rsidRPr="00D97A0F" w:rsidRDefault="00D97A0F" w:rsidP="00D97A0F">
      <w:r w:rsidRPr="00D97A0F">
        <w:t>передбачає накладення штрафу від шістдесяти до п’ятисот неоподатковуваних</w:t>
      </w:r>
    </w:p>
    <w:p w:rsidR="00D97A0F" w:rsidRPr="00D97A0F" w:rsidRDefault="00D97A0F" w:rsidP="00D97A0F">
      <w:r w:rsidRPr="00D97A0F">
        <w:t>мінімумів доходів громадян, в той же час стаття ККУ під санкцією зазначає</w:t>
      </w:r>
    </w:p>
    <w:p w:rsidR="00D97A0F" w:rsidRPr="00D97A0F" w:rsidRDefault="00D97A0F" w:rsidP="00D97A0F">
      <w:r w:rsidRPr="00D97A0F">
        <w:t>штраф від двохсот до тисячі неоподатковуваних мінімумів доходів громадян</w:t>
      </w:r>
    </w:p>
    <w:p w:rsidR="00D97A0F" w:rsidRPr="00D97A0F" w:rsidRDefault="00D97A0F" w:rsidP="00D97A0F">
      <w:r w:rsidRPr="00D97A0F">
        <w:t>або обмеження волі на строк до п’яти років, або позбавлення волі на той самий</w:t>
      </w:r>
    </w:p>
    <w:p w:rsidR="00D97A0F" w:rsidRPr="00D97A0F" w:rsidRDefault="00D97A0F" w:rsidP="00D97A0F">
      <w:r w:rsidRPr="00D97A0F">
        <w:t>строк, із конфіскацією повітряного судна. Тож, як бачимо, різниця у видах</w:t>
      </w:r>
    </w:p>
    <w:p w:rsidR="00D97A0F" w:rsidRPr="00D97A0F" w:rsidRDefault="00D97A0F" w:rsidP="00D97A0F">
      <w:r w:rsidRPr="00D97A0F">
        <w:t>санкцій за вчинення однойменного правопорушення при притягненні до</w:t>
      </w:r>
    </w:p>
    <w:p w:rsidR="00D97A0F" w:rsidRPr="00D97A0F" w:rsidRDefault="00D97A0F" w:rsidP="00D97A0F">
      <w:r w:rsidRPr="00D97A0F">
        <w:t>різних видів юридичної відповідальності більш, ніж значна.</w:t>
      </w:r>
    </w:p>
    <w:p w:rsidR="00D97A0F" w:rsidRPr="00D97A0F" w:rsidRDefault="00D97A0F" w:rsidP="00D97A0F">
      <w:r w:rsidRPr="00D97A0F">
        <w:t>Тому, вважаємо, що для превенції випадків недобросовісного правосуддя</w:t>
      </w:r>
    </w:p>
    <w:p w:rsidR="00D97A0F" w:rsidRPr="00D97A0F" w:rsidRDefault="00D97A0F" w:rsidP="00D97A0F">
      <w:r w:rsidRPr="00D97A0F">
        <w:t>у справах щодо порушення правил міжнародних польотів, перш за все</w:t>
      </w:r>
    </w:p>
    <w:p w:rsidR="00D97A0F" w:rsidRPr="00D97A0F" w:rsidRDefault="00D97A0F" w:rsidP="00D97A0F">
      <w:r w:rsidRPr="00D97A0F">
        <w:t>повинно існувати чітке нормативне роз’яснення такого формулювання.</w:t>
      </w:r>
    </w:p>
    <w:p w:rsidR="00D97A0F" w:rsidRPr="00D97A0F" w:rsidRDefault="00D97A0F" w:rsidP="00D97A0F">
      <w:r w:rsidRPr="00D97A0F">
        <w:t>Законодавство має містити чітке розмежування протиправних діянь, які за</w:t>
      </w:r>
    </w:p>
    <w:p w:rsidR="00D97A0F" w:rsidRPr="00D97A0F" w:rsidRDefault="00D97A0F" w:rsidP="00D97A0F">
      <w:r w:rsidRPr="00D97A0F">
        <w:t>своєю формою та наслідками відносяться чи то до адміністративних, чи до</w:t>
      </w:r>
    </w:p>
    <w:p w:rsidR="00D97A0F" w:rsidRPr="00D97A0F" w:rsidRDefault="00D97A0F" w:rsidP="00D97A0F">
      <w:r w:rsidRPr="00D97A0F">
        <w:t>кримінальних правопорушень. Таким чином, вбачається доцільним</w:t>
      </w:r>
    </w:p>
    <w:p w:rsidR="00D97A0F" w:rsidRPr="00D97A0F" w:rsidRDefault="00D97A0F" w:rsidP="00D97A0F">
      <w:r w:rsidRPr="00D97A0F">
        <w:t>внесення поправок (доповнень) до відповідних статей кодифікованих актів</w:t>
      </w:r>
    </w:p>
    <w:p w:rsidR="00D97A0F" w:rsidRPr="00D97A0F" w:rsidRDefault="00D97A0F" w:rsidP="00D97A0F">
      <w:r w:rsidRPr="00D97A0F">
        <w:t>України (що визначають підстави притягнення до відповідальності та</w:t>
      </w:r>
    </w:p>
    <w:p w:rsidR="00D97A0F" w:rsidRPr="00D97A0F" w:rsidRDefault="00D97A0F" w:rsidP="00D97A0F">
      <w:r w:rsidRPr="00D97A0F">
        <w:t>перелік відповідних діянь), які міститимуть якомога повніші описові</w:t>
      </w:r>
    </w:p>
    <w:p w:rsidR="00D97A0F" w:rsidRPr="00D97A0F" w:rsidRDefault="00D97A0F" w:rsidP="00D97A0F">
      <w:r w:rsidRPr="00D97A0F">
        <w:t>диспозиції, або хоча б відсилатимуть до нормативно-правових актів, в яких</w:t>
      </w:r>
    </w:p>
    <w:p w:rsidR="00D97A0F" w:rsidRPr="00D97A0F" w:rsidRDefault="00D97A0F" w:rsidP="00D97A0F">
      <w:r w:rsidRPr="00D97A0F">
        <w:t>таке описове пояснення міститься.</w:t>
      </w:r>
    </w:p>
    <w:p w:rsidR="00D97A0F" w:rsidRPr="00D97A0F" w:rsidRDefault="00D97A0F" w:rsidP="00D97A0F">
      <w:r w:rsidRPr="00D97A0F">
        <w:t>436</w:t>
      </w:r>
    </w:p>
    <w:p w:rsidR="00D97A0F" w:rsidRPr="00D97A0F" w:rsidRDefault="00D97A0F" w:rsidP="00D97A0F">
      <w:r w:rsidRPr="00D97A0F">
        <w:rPr>
          <w:rFonts w:hint="eastAsia"/>
        </w:rPr>
        <w:t>Література</w:t>
      </w:r>
    </w:p>
    <w:p w:rsidR="00D97A0F" w:rsidRPr="00D97A0F" w:rsidRDefault="00D97A0F" w:rsidP="00D97A0F">
      <w:r w:rsidRPr="00D97A0F">
        <w:t>1. Кримінальний кодекс України від 5 квітня 2001 р. № 2341-ІП (із змінами</w:t>
      </w:r>
    </w:p>
    <w:p w:rsidR="00D97A0F" w:rsidRPr="00D97A0F" w:rsidRDefault="00D97A0F" w:rsidP="00D97A0F">
      <w:r w:rsidRPr="00D97A0F">
        <w:t>та доп.) // Відомості Верховної Ради України. – 2001. – № 25-26. – Ст. 131.</w:t>
      </w:r>
    </w:p>
    <w:p w:rsidR="00D97A0F" w:rsidRPr="00D97A0F" w:rsidRDefault="00D97A0F" w:rsidP="00D97A0F">
      <w:r w:rsidRPr="00D97A0F">
        <w:t>2. Кодекс України про адміністративні правопорушення від 7 грудня 1984 р.</w:t>
      </w:r>
    </w:p>
    <w:p w:rsidR="00D97A0F" w:rsidRPr="00D97A0F" w:rsidRDefault="00D97A0F" w:rsidP="00D97A0F">
      <w:r w:rsidRPr="00D97A0F">
        <w:lastRenderedPageBreak/>
        <w:t>№ 8073-Х // Відомості Верховної Ради Української РСР. – 1984. – додаток до</w:t>
      </w:r>
    </w:p>
    <w:p w:rsidR="00D97A0F" w:rsidRPr="00D97A0F" w:rsidRDefault="00D97A0F" w:rsidP="00D97A0F">
      <w:r w:rsidRPr="00D97A0F">
        <w:t>№ 51. – Ст. 1122.</w:t>
      </w:r>
    </w:p>
    <w:p w:rsidR="00D97A0F" w:rsidRPr="00D97A0F" w:rsidRDefault="00D97A0F" w:rsidP="00D97A0F">
      <w:r w:rsidRPr="00D97A0F">
        <w:t>3. Повітряний кодекс України від 19 травня 2011 р. № 3393-VI // Відомості</w:t>
      </w:r>
    </w:p>
    <w:p w:rsidR="00D97A0F" w:rsidRPr="00D97A0F" w:rsidRDefault="00D97A0F" w:rsidP="00D97A0F">
      <w:r w:rsidRPr="00D97A0F">
        <w:t>Верховної Ради України. – 2011. – № 48-49. – С. 2024, Ст. 536.</w:t>
      </w:r>
    </w:p>
    <w:p w:rsidR="00D97A0F" w:rsidRPr="00D97A0F" w:rsidRDefault="00D97A0F" w:rsidP="00D97A0F">
      <w:r w:rsidRPr="00D97A0F">
        <w:t>4. Про Державну програму авіаційної безпеки цивільної авіації: Закон</w:t>
      </w:r>
    </w:p>
    <w:p w:rsidR="00D97A0F" w:rsidRPr="00D97A0F" w:rsidRDefault="00D97A0F" w:rsidP="00D97A0F">
      <w:r w:rsidRPr="00D97A0F">
        <w:t>України від 20 лютого 2003 р. № 545-IV // Відомості Верховної Ради України. –</w:t>
      </w:r>
    </w:p>
    <w:p w:rsidR="00AD30D0" w:rsidRDefault="00D97A0F" w:rsidP="00D97A0F">
      <w:r w:rsidRPr="00D97A0F">
        <w:t>2003. – № 17. – Ст. 140.__</w:t>
      </w:r>
      <w:bookmarkStart w:id="0" w:name="_GoBack"/>
      <w:bookmarkEnd w:id="0"/>
    </w:p>
    <w:sectPr w:rsidR="00A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0F"/>
    <w:rsid w:val="00AD30D0"/>
    <w:rsid w:val="00D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2014-11-27T17:45:00Z</dcterms:created>
  <dcterms:modified xsi:type="dcterms:W3CDTF">2014-11-27T17:47:00Z</dcterms:modified>
</cp:coreProperties>
</file>