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6BD" w:rsidRDefault="000C06BD" w:rsidP="004449CA">
      <w:pPr>
        <w:widowControl/>
        <w:autoSpaceDE w:val="0"/>
        <w:autoSpaceDN w:val="0"/>
        <w:adjustRightInd w:val="0"/>
        <w:rPr>
          <w:szCs w:val="24"/>
        </w:rPr>
      </w:pPr>
      <w:proofErr w:type="gramStart"/>
      <w:r>
        <w:rPr>
          <w:szCs w:val="24"/>
        </w:rPr>
        <w:t>prof</w:t>
      </w:r>
      <w:proofErr w:type="gramEnd"/>
      <w:r>
        <w:rPr>
          <w:szCs w:val="24"/>
        </w:rPr>
        <w:t>. dr hab.</w:t>
      </w:r>
      <w:r w:rsidR="00B01582">
        <w:rPr>
          <w:szCs w:val="24"/>
        </w:rPr>
        <w:t xml:space="preserve"> </w:t>
      </w:r>
      <w:r>
        <w:rPr>
          <w:szCs w:val="24"/>
        </w:rPr>
        <w:t>Marek Mozgawa</w:t>
      </w:r>
    </w:p>
    <w:p w:rsidR="000C06BD" w:rsidRDefault="000C06BD" w:rsidP="004449CA">
      <w:pPr>
        <w:widowControl/>
        <w:autoSpaceDE w:val="0"/>
        <w:autoSpaceDN w:val="0"/>
        <w:adjustRightInd w:val="0"/>
        <w:rPr>
          <w:szCs w:val="24"/>
        </w:rPr>
      </w:pPr>
      <w:r>
        <w:rPr>
          <w:szCs w:val="24"/>
        </w:rPr>
        <w:t xml:space="preserve">Katedra </w:t>
      </w:r>
      <w:r w:rsidR="00B01582">
        <w:rPr>
          <w:szCs w:val="24"/>
        </w:rPr>
        <w:t>Prawa</w:t>
      </w:r>
      <w:r>
        <w:rPr>
          <w:szCs w:val="24"/>
        </w:rPr>
        <w:t xml:space="preserve"> Karnego</w:t>
      </w:r>
      <w:r w:rsidR="00CA1ACA">
        <w:rPr>
          <w:szCs w:val="24"/>
        </w:rPr>
        <w:t xml:space="preserve"> i Kryminolo</w:t>
      </w:r>
      <w:r w:rsidR="00BB4B3B">
        <w:rPr>
          <w:szCs w:val="24"/>
        </w:rPr>
        <w:t>gii</w:t>
      </w:r>
    </w:p>
    <w:p w:rsidR="000C06BD" w:rsidRDefault="00B01582" w:rsidP="004449CA">
      <w:pPr>
        <w:widowControl/>
        <w:autoSpaceDE w:val="0"/>
        <w:autoSpaceDN w:val="0"/>
        <w:adjustRightInd w:val="0"/>
        <w:rPr>
          <w:szCs w:val="24"/>
        </w:rPr>
      </w:pPr>
      <w:proofErr w:type="gramStart"/>
      <w:r>
        <w:rPr>
          <w:szCs w:val="24"/>
        </w:rPr>
        <w:t>Wydział  Prawa</w:t>
      </w:r>
      <w:proofErr w:type="gramEnd"/>
      <w:r>
        <w:rPr>
          <w:szCs w:val="24"/>
        </w:rPr>
        <w:t xml:space="preserve"> i Administracji</w:t>
      </w:r>
    </w:p>
    <w:p w:rsidR="000C06BD" w:rsidRDefault="000C06BD" w:rsidP="004449CA">
      <w:pPr>
        <w:widowControl/>
        <w:autoSpaceDE w:val="0"/>
        <w:autoSpaceDN w:val="0"/>
        <w:adjustRightInd w:val="0"/>
        <w:rPr>
          <w:szCs w:val="24"/>
        </w:rPr>
      </w:pPr>
      <w:r>
        <w:rPr>
          <w:szCs w:val="24"/>
        </w:rPr>
        <w:t>UMCS Lublin</w:t>
      </w:r>
    </w:p>
    <w:p w:rsidR="000C06BD" w:rsidRDefault="000C06BD" w:rsidP="004449CA">
      <w:pPr>
        <w:widowControl/>
        <w:autoSpaceDE w:val="0"/>
        <w:autoSpaceDN w:val="0"/>
        <w:adjustRightInd w:val="0"/>
        <w:rPr>
          <w:szCs w:val="24"/>
        </w:rPr>
      </w:pPr>
    </w:p>
    <w:p w:rsidR="000C06BD" w:rsidRPr="000C06BD" w:rsidRDefault="000C06BD" w:rsidP="004449CA">
      <w:pPr>
        <w:widowControl/>
        <w:autoSpaceDE w:val="0"/>
        <w:autoSpaceDN w:val="0"/>
        <w:adjustRightInd w:val="0"/>
        <w:rPr>
          <w:b/>
          <w:szCs w:val="24"/>
        </w:rPr>
      </w:pPr>
      <w:r>
        <w:rPr>
          <w:szCs w:val="24"/>
        </w:rPr>
        <w:t xml:space="preserve">                                </w:t>
      </w:r>
      <w:r w:rsidRPr="000C06BD">
        <w:rPr>
          <w:b/>
          <w:szCs w:val="24"/>
        </w:rPr>
        <w:t xml:space="preserve">  </w:t>
      </w:r>
      <w:proofErr w:type="gramStart"/>
      <w:r w:rsidRPr="000C06BD">
        <w:rPr>
          <w:b/>
          <w:szCs w:val="24"/>
        </w:rPr>
        <w:t>Stan</w:t>
      </w:r>
      <w:r>
        <w:rPr>
          <w:b/>
          <w:szCs w:val="24"/>
        </w:rPr>
        <w:t xml:space="preserve"> </w:t>
      </w:r>
      <w:r w:rsidRPr="000C06BD">
        <w:rPr>
          <w:b/>
          <w:szCs w:val="24"/>
        </w:rPr>
        <w:t xml:space="preserve"> wyższej</w:t>
      </w:r>
      <w:proofErr w:type="gramEnd"/>
      <w:r w:rsidRPr="000C06BD">
        <w:rPr>
          <w:b/>
          <w:szCs w:val="24"/>
        </w:rPr>
        <w:t xml:space="preserve"> konieczności w polski</w:t>
      </w:r>
      <w:r w:rsidR="00404EFD">
        <w:rPr>
          <w:b/>
          <w:szCs w:val="24"/>
        </w:rPr>
        <w:t xml:space="preserve">m </w:t>
      </w:r>
      <w:r w:rsidRPr="000C06BD">
        <w:rPr>
          <w:b/>
          <w:szCs w:val="24"/>
        </w:rPr>
        <w:t xml:space="preserve"> prawie karnym </w:t>
      </w:r>
    </w:p>
    <w:p w:rsidR="000C06BD" w:rsidRPr="000C06BD" w:rsidRDefault="000C06BD" w:rsidP="004449CA">
      <w:pPr>
        <w:widowControl/>
        <w:autoSpaceDE w:val="0"/>
        <w:autoSpaceDN w:val="0"/>
        <w:adjustRightInd w:val="0"/>
        <w:rPr>
          <w:b/>
          <w:szCs w:val="24"/>
        </w:rPr>
      </w:pPr>
    </w:p>
    <w:p w:rsidR="004449CA" w:rsidRDefault="000C06BD" w:rsidP="004449CA">
      <w:pPr>
        <w:widowControl/>
        <w:autoSpaceDE w:val="0"/>
        <w:autoSpaceDN w:val="0"/>
        <w:adjustRightInd w:val="0"/>
        <w:rPr>
          <w:szCs w:val="24"/>
        </w:rPr>
      </w:pPr>
      <w:r>
        <w:rPr>
          <w:szCs w:val="24"/>
        </w:rPr>
        <w:t xml:space="preserve">       </w:t>
      </w:r>
      <w:r w:rsidR="004449CA">
        <w:rPr>
          <w:szCs w:val="24"/>
        </w:rPr>
        <w:t xml:space="preserve">Na gruncie kodeksu karnego z 1997 r. ustawodawca opowiedział się za wyraźnym odróżnieniem </w:t>
      </w:r>
      <w:r w:rsidR="004449CA">
        <w:rPr>
          <w:b/>
          <w:szCs w:val="24"/>
        </w:rPr>
        <w:t xml:space="preserve">dwóch </w:t>
      </w:r>
      <w:proofErr w:type="gramStart"/>
      <w:r w:rsidR="004449CA">
        <w:rPr>
          <w:szCs w:val="24"/>
        </w:rPr>
        <w:t>różnych co</w:t>
      </w:r>
      <w:proofErr w:type="gramEnd"/>
      <w:r w:rsidR="004449CA">
        <w:rPr>
          <w:szCs w:val="24"/>
        </w:rPr>
        <w:t xml:space="preserve"> do charakteru prawnego sytuacji stanu wyższej konieczności. W </w:t>
      </w:r>
      <w:r w:rsidR="004449CA" w:rsidRPr="004449CA">
        <w:rPr>
          <w:szCs w:val="24"/>
          <w:u w:color="FF0000"/>
        </w:rPr>
        <w:t>art. 26 § 1</w:t>
      </w:r>
      <w:r w:rsidR="004449CA">
        <w:rPr>
          <w:szCs w:val="24"/>
        </w:rPr>
        <w:t xml:space="preserve"> k.k. określony </w:t>
      </w:r>
      <w:proofErr w:type="gramStart"/>
      <w:r w:rsidR="004449CA">
        <w:rPr>
          <w:szCs w:val="24"/>
        </w:rPr>
        <w:t>jest jako</w:t>
      </w:r>
      <w:proofErr w:type="gramEnd"/>
      <w:r w:rsidR="004449CA">
        <w:rPr>
          <w:szCs w:val="24"/>
        </w:rPr>
        <w:t xml:space="preserve"> </w:t>
      </w:r>
      <w:r w:rsidR="004449CA">
        <w:rPr>
          <w:b/>
          <w:szCs w:val="24"/>
        </w:rPr>
        <w:t>kontratyp</w:t>
      </w:r>
      <w:r w:rsidR="004449CA">
        <w:rPr>
          <w:szCs w:val="24"/>
        </w:rPr>
        <w:t>, a więc stan wyższej konieczności jako okoliczność wyłączająca bezprawność. Ma on miejsce wtedy, gdy w sytuacji kolizji dwóch dóbr poświęcone zostaje dobro mniejszej wartości dla ratowania dobra o wartości wyższej. Działanie sprawcy jest w tym wypadku opłacalne, co powoduje wyłączenie bezprawności czynu</w:t>
      </w:r>
      <w:r w:rsidR="004449CA">
        <w:rPr>
          <w:rStyle w:val="Odwoanieprzypisudolnego"/>
          <w:szCs w:val="24"/>
        </w:rPr>
        <w:footnoteReference w:id="1"/>
      </w:r>
      <w:r w:rsidR="004449CA">
        <w:rPr>
          <w:szCs w:val="24"/>
        </w:rPr>
        <w:t xml:space="preserve">. W </w:t>
      </w:r>
      <w:r w:rsidR="004449CA" w:rsidRPr="004449CA">
        <w:rPr>
          <w:szCs w:val="24"/>
          <w:u w:color="FF0000"/>
        </w:rPr>
        <w:t>art. 26 § 2</w:t>
      </w:r>
      <w:r w:rsidR="004449CA">
        <w:rPr>
          <w:szCs w:val="24"/>
        </w:rPr>
        <w:t xml:space="preserve"> k.k. został zaś ujęty stan wyższej konieczności </w:t>
      </w:r>
      <w:r w:rsidR="004449CA">
        <w:rPr>
          <w:b/>
          <w:szCs w:val="24"/>
        </w:rPr>
        <w:t>wyłączający winę</w:t>
      </w:r>
      <w:r w:rsidR="004449CA">
        <w:rPr>
          <w:szCs w:val="24"/>
        </w:rPr>
        <w:t xml:space="preserve"> z uwagi na anormalną sytuację motywacyjną. Wyłączenie winy następuje w wypadku poświęcenia dobra o wartości równej dobru ratowanemu, a nawet wartości wyższej, byle nie oczywiście wyższej</w:t>
      </w:r>
      <w:r w:rsidR="004449CA">
        <w:rPr>
          <w:rStyle w:val="Odwoanieprzypisudolnego"/>
          <w:szCs w:val="24"/>
        </w:rPr>
        <w:footnoteReference w:id="2"/>
      </w:r>
      <w:r w:rsidR="004449CA">
        <w:rPr>
          <w:szCs w:val="24"/>
        </w:rPr>
        <w:t>.</w:t>
      </w:r>
    </w:p>
    <w:p w:rsidR="004449CA" w:rsidRDefault="00404EFD" w:rsidP="004449CA">
      <w:pPr>
        <w:widowControl/>
        <w:autoSpaceDE w:val="0"/>
        <w:autoSpaceDN w:val="0"/>
        <w:adjustRightInd w:val="0"/>
        <w:rPr>
          <w:szCs w:val="24"/>
        </w:rPr>
      </w:pPr>
      <w:r>
        <w:rPr>
          <w:szCs w:val="24"/>
        </w:rPr>
        <w:t xml:space="preserve">     </w:t>
      </w:r>
      <w:r w:rsidR="004449CA">
        <w:rPr>
          <w:szCs w:val="24"/>
        </w:rPr>
        <w:t xml:space="preserve">Do ustawowych znamion </w:t>
      </w:r>
      <w:r w:rsidR="004449CA">
        <w:rPr>
          <w:b/>
          <w:szCs w:val="24"/>
        </w:rPr>
        <w:t>kontratypu stanu wyższej konieczności</w:t>
      </w:r>
      <w:r w:rsidR="004449CA">
        <w:rPr>
          <w:szCs w:val="24"/>
        </w:rPr>
        <w:t xml:space="preserve"> należą:</w:t>
      </w:r>
    </w:p>
    <w:p w:rsidR="004449CA" w:rsidRDefault="004449CA" w:rsidP="004449CA">
      <w:pPr>
        <w:pStyle w:val="Lista1"/>
        <w:widowControl/>
        <w:tabs>
          <w:tab w:val="left" w:pos="709"/>
        </w:tabs>
        <w:autoSpaceDE w:val="0"/>
        <w:autoSpaceDN w:val="0"/>
        <w:adjustRightInd w:val="0"/>
        <w:rPr>
          <w:szCs w:val="24"/>
        </w:rPr>
      </w:pPr>
      <w:r>
        <w:rPr>
          <w:szCs w:val="24"/>
        </w:rPr>
        <w:t>–</w:t>
      </w:r>
      <w:r>
        <w:rPr>
          <w:szCs w:val="24"/>
        </w:rPr>
        <w:tab/>
        <w:t xml:space="preserve">istnienie niebezpieczeństwa bezpośredniego i rzeczywistego, </w:t>
      </w:r>
    </w:p>
    <w:p w:rsidR="004449CA" w:rsidRDefault="004449CA" w:rsidP="004449CA">
      <w:pPr>
        <w:pStyle w:val="Lista1"/>
        <w:widowControl/>
        <w:tabs>
          <w:tab w:val="left" w:pos="709"/>
        </w:tabs>
        <w:autoSpaceDE w:val="0"/>
        <w:autoSpaceDN w:val="0"/>
        <w:adjustRightInd w:val="0"/>
        <w:rPr>
          <w:szCs w:val="24"/>
        </w:rPr>
      </w:pPr>
      <w:r>
        <w:rPr>
          <w:szCs w:val="24"/>
        </w:rPr>
        <w:t>–</w:t>
      </w:r>
      <w:r>
        <w:rPr>
          <w:szCs w:val="24"/>
        </w:rPr>
        <w:tab/>
        <w:t>niebezpieczeństwo musi grozić jakiemukolwiek dobru chronionemu prawem,</w:t>
      </w:r>
    </w:p>
    <w:p w:rsidR="004449CA" w:rsidRDefault="004449CA" w:rsidP="004449CA">
      <w:pPr>
        <w:pStyle w:val="Lista1"/>
        <w:widowControl/>
        <w:tabs>
          <w:tab w:val="left" w:pos="709"/>
        </w:tabs>
        <w:autoSpaceDE w:val="0"/>
        <w:autoSpaceDN w:val="0"/>
        <w:adjustRightInd w:val="0"/>
        <w:rPr>
          <w:szCs w:val="24"/>
        </w:rPr>
      </w:pPr>
      <w:r>
        <w:rPr>
          <w:szCs w:val="24"/>
        </w:rPr>
        <w:t>–</w:t>
      </w:r>
      <w:r>
        <w:rPr>
          <w:szCs w:val="24"/>
        </w:rPr>
        <w:tab/>
        <w:t>niemożliwość uniknięcia niebezpieczeństwa inaczej niż przez poświęcenie danego dobra (zasada subsydiarności),</w:t>
      </w:r>
    </w:p>
    <w:p w:rsidR="004449CA" w:rsidRDefault="004449CA" w:rsidP="004449CA">
      <w:pPr>
        <w:pStyle w:val="Lista1"/>
        <w:widowControl/>
        <w:tabs>
          <w:tab w:val="left" w:pos="709"/>
        </w:tabs>
        <w:autoSpaceDE w:val="0"/>
        <w:autoSpaceDN w:val="0"/>
        <w:adjustRightInd w:val="0"/>
        <w:rPr>
          <w:szCs w:val="24"/>
        </w:rPr>
      </w:pPr>
      <w:r>
        <w:rPr>
          <w:szCs w:val="24"/>
        </w:rPr>
        <w:t>–</w:t>
      </w:r>
      <w:r>
        <w:rPr>
          <w:szCs w:val="24"/>
        </w:rPr>
        <w:tab/>
        <w:t>działanie w celu uchylenia niebezpieczeństwa,</w:t>
      </w:r>
    </w:p>
    <w:p w:rsidR="004449CA" w:rsidRDefault="004449CA" w:rsidP="004449CA">
      <w:pPr>
        <w:pStyle w:val="Lista1"/>
        <w:widowControl/>
        <w:tabs>
          <w:tab w:val="left" w:pos="709"/>
        </w:tabs>
        <w:autoSpaceDE w:val="0"/>
        <w:autoSpaceDN w:val="0"/>
        <w:adjustRightInd w:val="0"/>
        <w:rPr>
          <w:szCs w:val="24"/>
        </w:rPr>
      </w:pPr>
      <w:r>
        <w:rPr>
          <w:szCs w:val="24"/>
        </w:rPr>
        <w:t>–</w:t>
      </w:r>
      <w:r>
        <w:rPr>
          <w:szCs w:val="24"/>
        </w:rPr>
        <w:tab/>
        <w:t>poświęcenie dobra o wartości mniejszej niż dobro ratowane (zasada proporcjonalności).</w:t>
      </w:r>
    </w:p>
    <w:p w:rsidR="004449CA" w:rsidRDefault="00404EFD" w:rsidP="004449CA">
      <w:pPr>
        <w:widowControl/>
        <w:autoSpaceDE w:val="0"/>
        <w:autoSpaceDN w:val="0"/>
        <w:adjustRightInd w:val="0"/>
        <w:rPr>
          <w:szCs w:val="24"/>
        </w:rPr>
      </w:pPr>
      <w:r>
        <w:rPr>
          <w:szCs w:val="24"/>
        </w:rPr>
        <w:t xml:space="preserve">     </w:t>
      </w:r>
      <w:r w:rsidR="004449CA">
        <w:rPr>
          <w:szCs w:val="24"/>
        </w:rPr>
        <w:t xml:space="preserve">Należy zwrócić uwagę, że na gruncie </w:t>
      </w:r>
      <w:r w:rsidR="004449CA" w:rsidRPr="004449CA">
        <w:rPr>
          <w:szCs w:val="24"/>
          <w:u w:color="FF0000"/>
        </w:rPr>
        <w:t>art. 25</w:t>
      </w:r>
      <w:r w:rsidR="004449CA">
        <w:rPr>
          <w:szCs w:val="24"/>
        </w:rPr>
        <w:t xml:space="preserve"> k.k. </w:t>
      </w:r>
      <w:r w:rsidR="0000562C">
        <w:rPr>
          <w:szCs w:val="24"/>
        </w:rPr>
        <w:t xml:space="preserve">(obrona konieczna) przepis </w:t>
      </w:r>
      <w:proofErr w:type="gramStart"/>
      <w:r w:rsidR="0000562C">
        <w:rPr>
          <w:szCs w:val="24"/>
        </w:rPr>
        <w:t xml:space="preserve">mówi </w:t>
      </w:r>
      <w:r w:rsidR="004449CA">
        <w:rPr>
          <w:szCs w:val="24"/>
        </w:rPr>
        <w:t xml:space="preserve"> o</w:t>
      </w:r>
      <w:proofErr w:type="gramEnd"/>
      <w:r w:rsidR="004449CA">
        <w:rPr>
          <w:szCs w:val="24"/>
        </w:rPr>
        <w:t xml:space="preserve"> </w:t>
      </w:r>
      <w:r w:rsidR="004449CA">
        <w:rPr>
          <w:b/>
          <w:szCs w:val="24"/>
        </w:rPr>
        <w:t>zamachu,</w:t>
      </w:r>
      <w:r w:rsidR="004449CA">
        <w:rPr>
          <w:szCs w:val="24"/>
        </w:rPr>
        <w:t xml:space="preserve"> zaś na gruncie </w:t>
      </w:r>
      <w:r w:rsidR="004449CA" w:rsidRPr="004449CA">
        <w:rPr>
          <w:szCs w:val="24"/>
          <w:u w:color="FF0000"/>
        </w:rPr>
        <w:t>art. 26</w:t>
      </w:r>
      <w:r w:rsidR="004449CA">
        <w:rPr>
          <w:szCs w:val="24"/>
        </w:rPr>
        <w:t xml:space="preserve"> k.k. (stan wyższej konieczności) o </w:t>
      </w:r>
      <w:r w:rsidR="004449CA">
        <w:rPr>
          <w:b/>
          <w:szCs w:val="24"/>
        </w:rPr>
        <w:t>niebezpieczeństwie</w:t>
      </w:r>
      <w:r w:rsidR="004449CA">
        <w:rPr>
          <w:szCs w:val="24"/>
        </w:rPr>
        <w:t xml:space="preserve">. Pojęcie niebezpieczeństwa ma zakres zdecydowanie szerszy od zamachu. W doktrynie niebezpieczeństwo określa </w:t>
      </w:r>
      <w:proofErr w:type="gramStart"/>
      <w:r w:rsidR="004449CA">
        <w:rPr>
          <w:szCs w:val="24"/>
        </w:rPr>
        <w:t>się jako</w:t>
      </w:r>
      <w:proofErr w:type="gramEnd"/>
      <w:r w:rsidR="004449CA">
        <w:rPr>
          <w:szCs w:val="24"/>
        </w:rPr>
        <w:t xml:space="preserve"> pewną sytuację lub stan rzeczy charakteryzujący się prawdopodobieństwem zaistnienia ujemnego skutku</w:t>
      </w:r>
      <w:r w:rsidR="004449CA">
        <w:rPr>
          <w:rStyle w:val="Odwoanieprzypisudolnego"/>
          <w:szCs w:val="24"/>
        </w:rPr>
        <w:footnoteReference w:id="3"/>
      </w:r>
      <w:r w:rsidR="004449CA">
        <w:rPr>
          <w:szCs w:val="24"/>
        </w:rPr>
        <w:t>, niekiedy dodając, że chodzi o prawdopodobieństwo, które występuje obiektywnie</w:t>
      </w:r>
      <w:r w:rsidR="004449CA">
        <w:rPr>
          <w:rStyle w:val="Odwoanieprzypisudolnego"/>
          <w:szCs w:val="24"/>
        </w:rPr>
        <w:footnoteReference w:id="4"/>
      </w:r>
      <w:r w:rsidR="004449CA">
        <w:rPr>
          <w:szCs w:val="24"/>
        </w:rPr>
        <w:t>. Ustawa nie precyzuje źródeł niebezpieczeństwa. Może nim być działanie sił natury, zachowanie zwierząt i czyn człowieka (a przy zamachu jego źródłem może być tylko człowiek). Czyn ludzki może tu polegać także na zamachu, jednak wówczas działanie w stanie wyższej konieczności nie może stanowić odpierania zamachu, a czyn sprawcy należy oceniać przez pryzmat obrony koniecznej</w:t>
      </w:r>
      <w:r w:rsidR="004449CA">
        <w:rPr>
          <w:rStyle w:val="Odwoanieprzypisudolnego"/>
          <w:szCs w:val="24"/>
        </w:rPr>
        <w:footnoteReference w:id="5"/>
      </w:r>
      <w:r w:rsidR="004449CA">
        <w:rPr>
          <w:szCs w:val="24"/>
        </w:rPr>
        <w:t xml:space="preserve">. W tym znaczeniu można ujmować obronę </w:t>
      </w:r>
      <w:proofErr w:type="gramStart"/>
      <w:r w:rsidR="004449CA">
        <w:rPr>
          <w:szCs w:val="24"/>
        </w:rPr>
        <w:t>konieczną jako</w:t>
      </w:r>
      <w:proofErr w:type="gramEnd"/>
      <w:r w:rsidR="004449CA">
        <w:rPr>
          <w:szCs w:val="24"/>
        </w:rPr>
        <w:t xml:space="preserve"> </w:t>
      </w:r>
      <w:proofErr w:type="spellStart"/>
      <w:r w:rsidR="004449CA">
        <w:rPr>
          <w:i/>
          <w:szCs w:val="24"/>
        </w:rPr>
        <w:t>sui</w:t>
      </w:r>
      <w:proofErr w:type="spellEnd"/>
      <w:r w:rsidR="004449CA">
        <w:rPr>
          <w:i/>
          <w:szCs w:val="24"/>
        </w:rPr>
        <w:t xml:space="preserve"> </w:t>
      </w:r>
      <w:proofErr w:type="spellStart"/>
      <w:r w:rsidR="004449CA">
        <w:rPr>
          <w:i/>
          <w:szCs w:val="24"/>
        </w:rPr>
        <w:t>generis</w:t>
      </w:r>
      <w:proofErr w:type="spellEnd"/>
      <w:r w:rsidR="004449CA">
        <w:rPr>
          <w:i/>
          <w:szCs w:val="24"/>
        </w:rPr>
        <w:t xml:space="preserve"> </w:t>
      </w:r>
      <w:r w:rsidR="004449CA">
        <w:rPr>
          <w:szCs w:val="24"/>
        </w:rPr>
        <w:t xml:space="preserve">wycinek stanu wyższej konieczności. Stan niebezpieczeństwa może być wynikiem nagłego </w:t>
      </w:r>
      <w:proofErr w:type="gramStart"/>
      <w:r w:rsidR="004449CA">
        <w:rPr>
          <w:szCs w:val="24"/>
        </w:rPr>
        <w:t>zdarzenia (np</w:t>
      </w:r>
      <w:proofErr w:type="gramEnd"/>
      <w:r w:rsidR="004449CA">
        <w:rPr>
          <w:szCs w:val="24"/>
        </w:rPr>
        <w:t>. pożaru, powodzi, wypadku) lub wynikiem dłuższego rozwoju zdarzenia (np. choroby). Może trwać stosunkowo krótko (np. atak zwierzęcia) lub długo (np. szantaż)</w:t>
      </w:r>
      <w:r w:rsidR="004449CA">
        <w:rPr>
          <w:rStyle w:val="Odwoanieprzypisudolnego"/>
          <w:szCs w:val="24"/>
        </w:rPr>
        <w:footnoteReference w:id="6"/>
      </w:r>
      <w:r w:rsidR="004449CA">
        <w:rPr>
          <w:szCs w:val="24"/>
        </w:rPr>
        <w:t>.</w:t>
      </w:r>
    </w:p>
    <w:p w:rsidR="004449CA" w:rsidRDefault="00404EFD" w:rsidP="004449CA">
      <w:pPr>
        <w:widowControl/>
        <w:autoSpaceDE w:val="0"/>
        <w:autoSpaceDN w:val="0"/>
        <w:adjustRightInd w:val="0"/>
        <w:rPr>
          <w:szCs w:val="24"/>
        </w:rPr>
      </w:pPr>
      <w:r>
        <w:rPr>
          <w:b/>
          <w:szCs w:val="24"/>
        </w:rPr>
        <w:t xml:space="preserve">       </w:t>
      </w:r>
      <w:r w:rsidR="004449CA">
        <w:rPr>
          <w:b/>
          <w:szCs w:val="24"/>
        </w:rPr>
        <w:t xml:space="preserve">Kryterium bezpośredniości </w:t>
      </w:r>
      <w:r w:rsidR="004449CA">
        <w:rPr>
          <w:szCs w:val="24"/>
        </w:rPr>
        <w:t xml:space="preserve">niebezpieczeństwa wyznacza granice stanu wyższej konieczności. Wydaje się, że w analizowanym kontekście bezpośrednie niebezpieczeństwo należy </w:t>
      </w:r>
      <w:proofErr w:type="gramStart"/>
      <w:r w:rsidR="004449CA">
        <w:rPr>
          <w:szCs w:val="24"/>
        </w:rPr>
        <w:t>rozumieć jako</w:t>
      </w:r>
      <w:proofErr w:type="gramEnd"/>
      <w:r w:rsidR="004449CA">
        <w:rPr>
          <w:szCs w:val="24"/>
        </w:rPr>
        <w:t xml:space="preserve"> niebezpieczeństwo aktualne, obecne, a zatem zachodzące w danej </w:t>
      </w:r>
      <w:r w:rsidR="004449CA">
        <w:rPr>
          <w:szCs w:val="24"/>
        </w:rPr>
        <w:lastRenderedPageBreak/>
        <w:t>chwili. Przy stanie wyższej konieczności chodzi o wykorzystanie szansy uchylenia niebezpieczeństwa, a zatem tak należy określić początek stanu wyższej konieczności, aby zachować szanse uchylenia niebezpieczeństwa</w:t>
      </w:r>
      <w:r w:rsidR="004449CA">
        <w:rPr>
          <w:rStyle w:val="Odwoanieprzypisudolnego"/>
          <w:szCs w:val="24"/>
        </w:rPr>
        <w:footnoteReference w:id="7"/>
      </w:r>
      <w:r w:rsidR="004449CA">
        <w:rPr>
          <w:szCs w:val="24"/>
        </w:rPr>
        <w:t xml:space="preserve">. Inaczej mówiąc, kryterium bezpośredniości nie można interpretować w ten sposób, aby początek stanu wyższej konieczności ustalany był na moment, w którym nie jest już możliwe uratowanie zagrożonego dobra, w </w:t>
      </w:r>
      <w:proofErr w:type="gramStart"/>
      <w:r w:rsidR="004449CA">
        <w:rPr>
          <w:szCs w:val="24"/>
        </w:rPr>
        <w:t>takim bowiem</w:t>
      </w:r>
      <w:proofErr w:type="gramEnd"/>
      <w:r w:rsidR="004449CA">
        <w:rPr>
          <w:szCs w:val="24"/>
        </w:rPr>
        <w:t xml:space="preserve"> wypadku nie jest już zasadne powoływanie się na stan wyższej konieczności</w:t>
      </w:r>
      <w:r w:rsidR="004449CA">
        <w:rPr>
          <w:rStyle w:val="Odwoanieprzypisudolnego"/>
          <w:szCs w:val="24"/>
        </w:rPr>
        <w:footnoteReference w:id="8"/>
      </w:r>
      <w:r w:rsidR="004449CA">
        <w:rPr>
          <w:szCs w:val="24"/>
        </w:rPr>
        <w:t>. Bezpośrednie niebezpieczeństwo jest to taki stan rzeczy, w którym dobro prawne jest zagrożone w takim stopniu, że w każdej chwili może nastąpić jego naruszenie lub unicestwienie, a zwłoka w ratowaniu tego dobra może prowadzić do natychmiastowej szkody</w:t>
      </w:r>
      <w:r w:rsidR="004449CA">
        <w:rPr>
          <w:rStyle w:val="Odwoanieprzypisudolnego"/>
          <w:szCs w:val="24"/>
        </w:rPr>
        <w:footnoteReference w:id="9"/>
      </w:r>
      <w:r w:rsidR="004449CA">
        <w:rPr>
          <w:szCs w:val="24"/>
        </w:rPr>
        <w:t xml:space="preserve">. Należy również podnieść, że niebezpieczeństwo musi być rzeczywiste (tzn. istniejące w obiektywnej rzeczywistości, a nie tylko w wyobraźni sprawcy). W wypadku błędnego wyobrażenia niebezpieczeństwa możemy mieć do czynienia z konstrukcją </w:t>
      </w:r>
      <w:proofErr w:type="gramStart"/>
      <w:r w:rsidR="004449CA">
        <w:rPr>
          <w:szCs w:val="24"/>
        </w:rPr>
        <w:t>błędu co</w:t>
      </w:r>
      <w:proofErr w:type="gramEnd"/>
      <w:r w:rsidR="004449CA">
        <w:rPr>
          <w:szCs w:val="24"/>
        </w:rPr>
        <w:t xml:space="preserve"> do kontratypu albo też co do okoliczności wyłączającej winę – </w:t>
      </w:r>
      <w:r w:rsidR="004449CA" w:rsidRPr="004449CA">
        <w:rPr>
          <w:szCs w:val="24"/>
          <w:u w:color="FF0000"/>
        </w:rPr>
        <w:t>art. 29</w:t>
      </w:r>
      <w:r w:rsidR="004449CA">
        <w:rPr>
          <w:szCs w:val="24"/>
        </w:rPr>
        <w:t xml:space="preserve"> k.k. (w zależności od relacji zachodzących między wartością dobra pozornie zagrożonego a dobrem poświęconym).</w:t>
      </w:r>
    </w:p>
    <w:p w:rsidR="0000562C" w:rsidRDefault="007D22C1" w:rsidP="004449CA">
      <w:pPr>
        <w:widowControl/>
        <w:autoSpaceDE w:val="0"/>
        <w:autoSpaceDN w:val="0"/>
        <w:adjustRightInd w:val="0"/>
        <w:rPr>
          <w:szCs w:val="24"/>
        </w:rPr>
      </w:pPr>
      <w:r>
        <w:rPr>
          <w:szCs w:val="24"/>
        </w:rPr>
        <w:t xml:space="preserve">      </w:t>
      </w:r>
      <w:r w:rsidR="0000562C">
        <w:rPr>
          <w:szCs w:val="24"/>
        </w:rPr>
        <w:t xml:space="preserve">Niebezpieczeństwo musi być </w:t>
      </w:r>
      <w:r w:rsidRPr="007D22C1">
        <w:rPr>
          <w:b/>
          <w:szCs w:val="24"/>
        </w:rPr>
        <w:t>rzeczywiste</w:t>
      </w:r>
      <w:r w:rsidR="0000562C" w:rsidRPr="007D22C1">
        <w:rPr>
          <w:b/>
          <w:szCs w:val="24"/>
        </w:rPr>
        <w:t xml:space="preserve"> (</w:t>
      </w:r>
      <w:r w:rsidR="0000562C">
        <w:rPr>
          <w:szCs w:val="24"/>
        </w:rPr>
        <w:t xml:space="preserve">tzn. musi istnieć w obiektywnej rzeczywistości, a nie </w:t>
      </w:r>
      <w:r>
        <w:rPr>
          <w:szCs w:val="24"/>
        </w:rPr>
        <w:t>tylko w wyobraźni</w:t>
      </w:r>
      <w:r w:rsidR="00C05DEB">
        <w:rPr>
          <w:szCs w:val="24"/>
        </w:rPr>
        <w:t xml:space="preserve"> podejmującego </w:t>
      </w:r>
      <w:r>
        <w:rPr>
          <w:szCs w:val="24"/>
        </w:rPr>
        <w:t xml:space="preserve">działania obronne). </w:t>
      </w:r>
      <w:r w:rsidR="00C05DEB">
        <w:rPr>
          <w:szCs w:val="24"/>
        </w:rPr>
        <w:t xml:space="preserve">W wypadku niebezpieczeństwa urojonego w </w:t>
      </w:r>
      <w:r>
        <w:rPr>
          <w:szCs w:val="24"/>
        </w:rPr>
        <w:t>grę</w:t>
      </w:r>
      <w:r w:rsidR="00C05DEB">
        <w:rPr>
          <w:szCs w:val="24"/>
        </w:rPr>
        <w:t xml:space="preserve"> wchodzi </w:t>
      </w:r>
      <w:r>
        <w:rPr>
          <w:szCs w:val="24"/>
        </w:rPr>
        <w:t>konstrukcja</w:t>
      </w:r>
      <w:r w:rsidR="00C05DEB">
        <w:rPr>
          <w:szCs w:val="24"/>
        </w:rPr>
        <w:t xml:space="preserve"> b</w:t>
      </w:r>
      <w:r>
        <w:rPr>
          <w:szCs w:val="24"/>
        </w:rPr>
        <w:t>ł</w:t>
      </w:r>
      <w:r w:rsidR="00C05DEB">
        <w:rPr>
          <w:szCs w:val="24"/>
        </w:rPr>
        <w:t xml:space="preserve">ędu (co </w:t>
      </w:r>
      <w:proofErr w:type="gramStart"/>
      <w:r w:rsidR="00C05DEB">
        <w:rPr>
          <w:szCs w:val="24"/>
        </w:rPr>
        <w:t>do  okoliczności</w:t>
      </w:r>
      <w:proofErr w:type="gramEnd"/>
      <w:r w:rsidR="00C05DEB">
        <w:rPr>
          <w:szCs w:val="24"/>
        </w:rPr>
        <w:t xml:space="preserve"> </w:t>
      </w:r>
      <w:r>
        <w:rPr>
          <w:szCs w:val="24"/>
        </w:rPr>
        <w:t>wyłączającej bezprawność</w:t>
      </w:r>
      <w:r w:rsidR="00C05DEB">
        <w:rPr>
          <w:szCs w:val="24"/>
        </w:rPr>
        <w:t xml:space="preserve">  albo winę – art. 29 k.k.).</w:t>
      </w:r>
    </w:p>
    <w:p w:rsidR="004449CA" w:rsidRDefault="008532DB" w:rsidP="004449CA">
      <w:pPr>
        <w:widowControl/>
        <w:autoSpaceDE w:val="0"/>
        <w:autoSpaceDN w:val="0"/>
        <w:adjustRightInd w:val="0"/>
        <w:rPr>
          <w:szCs w:val="24"/>
        </w:rPr>
      </w:pPr>
      <w:r>
        <w:rPr>
          <w:szCs w:val="24"/>
        </w:rPr>
        <w:t xml:space="preserve">       </w:t>
      </w:r>
      <w:r w:rsidR="004449CA">
        <w:rPr>
          <w:szCs w:val="24"/>
        </w:rPr>
        <w:t xml:space="preserve">Niebezpieczeństwo musi zagrażać </w:t>
      </w:r>
      <w:r w:rsidR="004449CA">
        <w:rPr>
          <w:b/>
          <w:szCs w:val="24"/>
        </w:rPr>
        <w:t>jakiemukolwiek dobru chronionemu prawem</w:t>
      </w:r>
      <w:r w:rsidR="004449CA">
        <w:rPr>
          <w:szCs w:val="24"/>
        </w:rPr>
        <w:t>, a zatem w grę może wchodzić dobro prawne działającego w ramach stanu wyższej konieczności lub innej osoby. Może to być dobro o charakterze indywidualnym (życie, zdrowie, mienie) lub społecznym (np. obronność RP, porządek publiczny). Nie jest konieczne, aby było to dobro chronione prawem karnym; wystarczy, jeśli przysługuje mu jakakolwiek ochrona prawna</w:t>
      </w:r>
      <w:r w:rsidR="004449CA">
        <w:rPr>
          <w:rStyle w:val="Odwoanieprzypisudolnego"/>
          <w:szCs w:val="24"/>
        </w:rPr>
        <w:footnoteReference w:id="10"/>
      </w:r>
      <w:r w:rsidR="004449CA">
        <w:rPr>
          <w:szCs w:val="24"/>
        </w:rPr>
        <w:t>.</w:t>
      </w:r>
    </w:p>
    <w:p w:rsidR="004449CA" w:rsidRDefault="008532DB" w:rsidP="004449CA">
      <w:pPr>
        <w:widowControl/>
        <w:autoSpaceDE w:val="0"/>
        <w:autoSpaceDN w:val="0"/>
        <w:adjustRightInd w:val="0"/>
        <w:rPr>
          <w:szCs w:val="24"/>
        </w:rPr>
      </w:pPr>
      <w:r>
        <w:rPr>
          <w:szCs w:val="24"/>
        </w:rPr>
        <w:t xml:space="preserve">      </w:t>
      </w:r>
      <w:r w:rsidR="004449CA" w:rsidRPr="008532DB">
        <w:rPr>
          <w:b/>
          <w:szCs w:val="24"/>
        </w:rPr>
        <w:t>Zasada subsydiarności</w:t>
      </w:r>
      <w:r w:rsidR="004449CA">
        <w:rPr>
          <w:szCs w:val="24"/>
        </w:rPr>
        <w:t xml:space="preserve"> wyraża się w tym, że nie jest możliwe uniknięcie niebezpieczeństwa inaczej niż przez poświęcenie cudzego dobra prawnego. A zatem jedynie wtedy, gdy nie istnieje żadna inna możliwość uniknięcia niebezpieczeństwa, można mówić o stanie wyższej konieczności. Poświęcenie dobra prawnego innej osoby musi faktycznie być jedynym sposobem uratowania dobra zagrożonego, a wobec faktu, że dobro tej osoby także korzysta z ochrony prawnej, należy postępować z największą starannością, maksymalnie ograniczając rozmiary naruszenia</w:t>
      </w:r>
      <w:r w:rsidR="004449CA">
        <w:rPr>
          <w:rStyle w:val="Odwoanieprzypisudolnego"/>
          <w:szCs w:val="24"/>
        </w:rPr>
        <w:footnoteReference w:id="11"/>
      </w:r>
      <w:r w:rsidR="004449CA">
        <w:rPr>
          <w:szCs w:val="24"/>
        </w:rPr>
        <w:t xml:space="preserve">. Przy stanie wyższej konieczności (inaczej niż przy obronie koniecznej) trzeba np. ratować się </w:t>
      </w:r>
      <w:proofErr w:type="gramStart"/>
      <w:r w:rsidR="004449CA">
        <w:rPr>
          <w:szCs w:val="24"/>
        </w:rPr>
        <w:t>ucieczką (jeśli</w:t>
      </w:r>
      <w:proofErr w:type="gramEnd"/>
      <w:r w:rsidR="004449CA">
        <w:rPr>
          <w:szCs w:val="24"/>
        </w:rPr>
        <w:t xml:space="preserve"> jest ona możliwa), a nie np. poświęcać cudzą rzecz, uznając ucieczkę za niehonorową. Jeżeli istnieje kilka możliwych sposobów działania w ramach stanu wyższej konieczności, należy wybrać ten, który spowoduje możliwie najmniejszą szkodę</w:t>
      </w:r>
      <w:r w:rsidR="004449CA">
        <w:rPr>
          <w:rStyle w:val="Odwoanieprzypisudolnego"/>
          <w:szCs w:val="24"/>
        </w:rPr>
        <w:footnoteReference w:id="12"/>
      </w:r>
      <w:r w:rsidR="004449CA">
        <w:rPr>
          <w:szCs w:val="24"/>
        </w:rPr>
        <w:t>.</w:t>
      </w:r>
    </w:p>
    <w:p w:rsidR="004449CA" w:rsidRDefault="008532DB" w:rsidP="004449CA">
      <w:pPr>
        <w:widowControl/>
        <w:autoSpaceDE w:val="0"/>
        <w:autoSpaceDN w:val="0"/>
        <w:adjustRightInd w:val="0"/>
        <w:rPr>
          <w:szCs w:val="24"/>
        </w:rPr>
      </w:pPr>
      <w:r>
        <w:rPr>
          <w:b/>
          <w:szCs w:val="24"/>
        </w:rPr>
        <w:t xml:space="preserve">        </w:t>
      </w:r>
      <w:r w:rsidR="004449CA">
        <w:rPr>
          <w:b/>
          <w:szCs w:val="24"/>
        </w:rPr>
        <w:t>Zasada proporcjonalności</w:t>
      </w:r>
      <w:r w:rsidR="004449CA">
        <w:rPr>
          <w:szCs w:val="24"/>
        </w:rPr>
        <w:t xml:space="preserve"> (w wypadku kontratypu – </w:t>
      </w:r>
      <w:r w:rsidR="004449CA" w:rsidRPr="004449CA">
        <w:rPr>
          <w:szCs w:val="24"/>
          <w:u w:color="FF0000"/>
        </w:rPr>
        <w:t>art. 26 § 1</w:t>
      </w:r>
      <w:r w:rsidR="004449CA">
        <w:rPr>
          <w:szCs w:val="24"/>
        </w:rPr>
        <w:t xml:space="preserve"> k.k.) polega na tym, że dobro poświęcone przedstawia wartość mniejszą od dobra ratowanego. Owo wartościowanie winno odbywać się według kryteriów obiektywnych, a nie według subiektywnego osądu działającego w stanie wyższej konieczności</w:t>
      </w:r>
      <w:r w:rsidR="004449CA">
        <w:rPr>
          <w:rStyle w:val="Odwoanieprzypisudolnego"/>
          <w:szCs w:val="24"/>
        </w:rPr>
        <w:footnoteReference w:id="13"/>
      </w:r>
      <w:r w:rsidR="004449CA">
        <w:rPr>
          <w:szCs w:val="24"/>
        </w:rPr>
        <w:t xml:space="preserve">. Przepisy o stanie wyższej konieczności </w:t>
      </w:r>
      <w:proofErr w:type="gramStart"/>
      <w:r w:rsidR="004449CA">
        <w:rPr>
          <w:szCs w:val="24"/>
        </w:rPr>
        <w:lastRenderedPageBreak/>
        <w:t>zakładają zatem</w:t>
      </w:r>
      <w:proofErr w:type="gramEnd"/>
      <w:r w:rsidR="004449CA">
        <w:rPr>
          <w:szCs w:val="24"/>
        </w:rPr>
        <w:t xml:space="preserve"> istnienie określonej hierarchii dóbr chronionych prawem, jednak ocena wagi dobra może rodzić problemy. Niewątpliwie wiążący jest tu system wartości przyjęty przez ustawodawcę, a istotne znaczenie może mieć wysokość sankcji przewidzianych za naruszenie określonych dóbr. Należy jednak mieć na uwadze, że wiele typów czynów zabronionych wprowadza więcej niż jeden przedmiot ochrony, a wysokość kar może być różnicowana także ze względu na poboczny przedmiot ochrony.</w:t>
      </w:r>
    </w:p>
    <w:p w:rsidR="004449CA" w:rsidRDefault="008532DB" w:rsidP="004449CA">
      <w:pPr>
        <w:widowControl/>
        <w:autoSpaceDE w:val="0"/>
        <w:autoSpaceDN w:val="0"/>
        <w:adjustRightInd w:val="0"/>
        <w:rPr>
          <w:szCs w:val="24"/>
        </w:rPr>
      </w:pPr>
      <w:r>
        <w:rPr>
          <w:szCs w:val="24"/>
        </w:rPr>
        <w:t xml:space="preserve">    </w:t>
      </w:r>
      <w:r w:rsidR="004449CA">
        <w:rPr>
          <w:szCs w:val="24"/>
        </w:rPr>
        <w:t>Nie budzi wątpliwości to, że najwyżej w hierarchii dóbr chronionych prawem stoi ludzkie życie, a na następnym miejscu jest ludzkie zdrowie. Samo życie zawsze posiada identyczną wartość, niezależnie od wieku, stanu zdrowia, poziomu wiedzy, wykształcenia, stanu rodzinnego, przydatności dla społeczeństwa</w:t>
      </w:r>
      <w:r w:rsidR="004449CA">
        <w:rPr>
          <w:rStyle w:val="Odwoanieprzypisudolnego"/>
          <w:szCs w:val="24"/>
        </w:rPr>
        <w:footnoteReference w:id="14"/>
      </w:r>
      <w:r w:rsidR="004449CA">
        <w:rPr>
          <w:szCs w:val="24"/>
        </w:rPr>
        <w:t>. Równość ta nie ulega zmianie także wtedy, kiedy po jednej stronie występuje życie mniejszej, a po drugiej – większej liczby osób. W takim wypadku także mamy do czynienia z wartością równą</w:t>
      </w:r>
      <w:r w:rsidR="004449CA">
        <w:rPr>
          <w:rStyle w:val="Odwoanieprzypisudolnego"/>
          <w:szCs w:val="24"/>
        </w:rPr>
        <w:footnoteReference w:id="15"/>
      </w:r>
      <w:r w:rsidR="004449CA">
        <w:rPr>
          <w:szCs w:val="24"/>
        </w:rPr>
        <w:t xml:space="preserve">. Co do innych dóbr, nie można wyprowadzać już tak kategorycznych </w:t>
      </w:r>
      <w:proofErr w:type="gramStart"/>
      <w:r w:rsidR="004449CA">
        <w:rPr>
          <w:szCs w:val="24"/>
        </w:rPr>
        <w:t xml:space="preserve">stwierdzeń. </w:t>
      </w:r>
      <w:proofErr w:type="gramEnd"/>
      <w:r w:rsidR="004449CA">
        <w:rPr>
          <w:szCs w:val="24"/>
        </w:rPr>
        <w:t>Ocena proporcji dóbr winna odbywać się w realiach konkretnej sprawy, a jej wyniki są uzależnione od tych realiów i nie mogą mieć charakteru abstrakcyjnego i schematycznego</w:t>
      </w:r>
      <w:r w:rsidR="004449CA">
        <w:rPr>
          <w:rStyle w:val="Odwoanieprzypisudolnego"/>
          <w:szCs w:val="24"/>
        </w:rPr>
        <w:footnoteReference w:id="16"/>
      </w:r>
      <w:r w:rsidR="004449CA">
        <w:rPr>
          <w:szCs w:val="24"/>
        </w:rPr>
        <w:t>.</w:t>
      </w:r>
    </w:p>
    <w:p w:rsidR="004449CA" w:rsidRDefault="008532DB" w:rsidP="004449CA">
      <w:pPr>
        <w:widowControl/>
        <w:autoSpaceDE w:val="0"/>
        <w:autoSpaceDN w:val="0"/>
        <w:adjustRightInd w:val="0"/>
        <w:rPr>
          <w:szCs w:val="24"/>
        </w:rPr>
      </w:pPr>
      <w:r>
        <w:rPr>
          <w:szCs w:val="24"/>
        </w:rPr>
        <w:t xml:space="preserve">      </w:t>
      </w:r>
      <w:r w:rsidR="004449CA">
        <w:rPr>
          <w:szCs w:val="24"/>
        </w:rPr>
        <w:t xml:space="preserve">Nie można tracić z pola widzenia tego, że przepis </w:t>
      </w:r>
      <w:r w:rsidR="004449CA" w:rsidRPr="000C06BD">
        <w:rPr>
          <w:szCs w:val="24"/>
          <w:u w:color="FF0000"/>
        </w:rPr>
        <w:t>art. 26 § 1</w:t>
      </w:r>
      <w:r w:rsidR="004449CA">
        <w:rPr>
          <w:szCs w:val="24"/>
        </w:rPr>
        <w:t xml:space="preserve"> k.k. wprost określa stronę podmiotową stanu wyższej konieczności. Poprzez </w:t>
      </w:r>
      <w:proofErr w:type="gramStart"/>
      <w:r w:rsidR="004449CA">
        <w:rPr>
          <w:szCs w:val="24"/>
        </w:rPr>
        <w:t xml:space="preserve">sformułowanie </w:t>
      </w:r>
      <w:r w:rsidR="004449CA">
        <w:rPr>
          <w:b/>
          <w:szCs w:val="24"/>
        </w:rPr>
        <w:t>„kto</w:t>
      </w:r>
      <w:proofErr w:type="gramEnd"/>
      <w:r w:rsidR="004449CA">
        <w:rPr>
          <w:b/>
          <w:szCs w:val="24"/>
        </w:rPr>
        <w:t xml:space="preserve"> działa w celu”</w:t>
      </w:r>
      <w:r w:rsidR="004449CA">
        <w:rPr>
          <w:szCs w:val="24"/>
        </w:rPr>
        <w:t xml:space="preserve"> wyraźnie zaakcentowano świadomość i wolę zachowania w sytuacji </w:t>
      </w:r>
      <w:proofErr w:type="spellStart"/>
      <w:r w:rsidR="004449CA">
        <w:rPr>
          <w:szCs w:val="24"/>
        </w:rPr>
        <w:t>kontratypowej</w:t>
      </w:r>
      <w:proofErr w:type="spellEnd"/>
      <w:r w:rsidR="004449CA">
        <w:rPr>
          <w:szCs w:val="24"/>
        </w:rPr>
        <w:t xml:space="preserve">. W doktrynie zwraca się uwagę, że właściwie należałoby czynnik podmiotowy </w:t>
      </w:r>
      <w:proofErr w:type="gramStart"/>
      <w:r w:rsidR="004449CA">
        <w:rPr>
          <w:szCs w:val="24"/>
        </w:rPr>
        <w:t>określić jako</w:t>
      </w:r>
      <w:proofErr w:type="gramEnd"/>
      <w:r w:rsidR="004449CA">
        <w:rPr>
          <w:szCs w:val="24"/>
        </w:rPr>
        <w:t xml:space="preserve"> „działanie celem uniknięcia ujemnych skutków grożących dobru chronionemu prawnie w wyniku niebezpieczeństwa”</w:t>
      </w:r>
      <w:r w:rsidR="004449CA">
        <w:rPr>
          <w:rStyle w:val="Odwoanieprzypisudolnego"/>
          <w:szCs w:val="24"/>
        </w:rPr>
        <w:footnoteReference w:id="17"/>
      </w:r>
      <w:r w:rsidR="004449CA">
        <w:rPr>
          <w:szCs w:val="24"/>
        </w:rPr>
        <w:t xml:space="preserve">. Jest to pogląd racjonalny, bowiem np. w wypadku pożaru działający w stanie wyższej konieczności nie tyle gasi pożar, ile poświęca czyjeś dobro, by pożar się nie </w:t>
      </w:r>
      <w:proofErr w:type="gramStart"/>
      <w:r w:rsidR="004449CA">
        <w:rPr>
          <w:szCs w:val="24"/>
        </w:rPr>
        <w:t>rozprzestrzenił (jeśli</w:t>
      </w:r>
      <w:proofErr w:type="gramEnd"/>
      <w:r w:rsidR="004449CA">
        <w:rPr>
          <w:szCs w:val="24"/>
        </w:rPr>
        <w:t xml:space="preserve"> ugasiłby pożar, wtedy nie ma powodu powoływania się na stan wyższej konieczności). Nieświadome uchylenie niebezpieczeństwa nie jest działaniem w stanie wyższej konieczności (np. kłusownik zabija niedźwiedzia, nie wiedząc, że ów niedźwiedź szykuje się do ataku na turystę).</w:t>
      </w:r>
    </w:p>
    <w:p w:rsidR="004449CA" w:rsidRDefault="008532DB" w:rsidP="004449CA">
      <w:pPr>
        <w:widowControl/>
        <w:autoSpaceDE w:val="0"/>
        <w:autoSpaceDN w:val="0"/>
        <w:adjustRightInd w:val="0"/>
        <w:rPr>
          <w:szCs w:val="24"/>
        </w:rPr>
      </w:pPr>
      <w:r>
        <w:rPr>
          <w:szCs w:val="24"/>
        </w:rPr>
        <w:t xml:space="preserve">      </w:t>
      </w:r>
      <w:r w:rsidR="004449CA">
        <w:rPr>
          <w:szCs w:val="24"/>
        </w:rPr>
        <w:t xml:space="preserve">Możliwe jest </w:t>
      </w:r>
      <w:r w:rsidR="004449CA">
        <w:rPr>
          <w:b/>
          <w:szCs w:val="24"/>
        </w:rPr>
        <w:t>przekroczenie granic stanu wyższej konieczności</w:t>
      </w:r>
      <w:r w:rsidR="004449CA">
        <w:rPr>
          <w:szCs w:val="24"/>
        </w:rPr>
        <w:t xml:space="preserve">, które może się przejawiać w postaci </w:t>
      </w:r>
      <w:r w:rsidR="004449CA">
        <w:rPr>
          <w:b/>
          <w:szCs w:val="24"/>
        </w:rPr>
        <w:t>ekscesu intensywnego</w:t>
      </w:r>
      <w:r w:rsidR="004449CA">
        <w:rPr>
          <w:szCs w:val="24"/>
        </w:rPr>
        <w:t xml:space="preserve"> lub </w:t>
      </w:r>
      <w:r w:rsidR="004449CA">
        <w:rPr>
          <w:b/>
          <w:szCs w:val="24"/>
        </w:rPr>
        <w:t>ekscesu ekstensywnego</w:t>
      </w:r>
      <w:r w:rsidR="004449CA">
        <w:rPr>
          <w:szCs w:val="24"/>
        </w:rPr>
        <w:t>. Z ekscesem intensywnym mamy do czynienia w przypadku, gdy przełamany został warunek subsydiarności lub proporcjonalności, zaś z ekstensywnym, gdy naruszono warunek bezpośredniości (tzn. akcja ratownicza podjęta jest przedwcześnie lub za późno). W wypadku przekroczenia granic obrony koniecznej sąd może zastosować nadzwyczajne złagodzenie kary, a nawet odstąpić od jej wymierzenia (</w:t>
      </w:r>
      <w:r w:rsidR="004449CA" w:rsidRPr="000C06BD">
        <w:rPr>
          <w:szCs w:val="24"/>
          <w:u w:color="FF0000"/>
        </w:rPr>
        <w:t>art. 26 § 3</w:t>
      </w:r>
      <w:r w:rsidR="004449CA">
        <w:rPr>
          <w:szCs w:val="24"/>
        </w:rPr>
        <w:t xml:space="preserve"> k.k.).</w:t>
      </w:r>
    </w:p>
    <w:p w:rsidR="004449CA" w:rsidRDefault="008532DB" w:rsidP="004449CA">
      <w:pPr>
        <w:widowControl/>
        <w:autoSpaceDE w:val="0"/>
        <w:autoSpaceDN w:val="0"/>
        <w:adjustRightInd w:val="0"/>
        <w:rPr>
          <w:szCs w:val="24"/>
        </w:rPr>
      </w:pPr>
      <w:r>
        <w:rPr>
          <w:szCs w:val="24"/>
        </w:rPr>
        <w:t xml:space="preserve">      </w:t>
      </w:r>
      <w:r w:rsidR="004449CA">
        <w:rPr>
          <w:szCs w:val="24"/>
        </w:rPr>
        <w:t xml:space="preserve">Nowością na gruncie kodeksu karnego z 1997 r. jest unormowanie kwestii tzw. </w:t>
      </w:r>
      <w:r w:rsidR="004449CA">
        <w:rPr>
          <w:b/>
          <w:szCs w:val="24"/>
        </w:rPr>
        <w:t>kolizji obowiązków</w:t>
      </w:r>
      <w:r w:rsidR="004449CA">
        <w:rPr>
          <w:szCs w:val="24"/>
        </w:rPr>
        <w:t xml:space="preserve"> (</w:t>
      </w:r>
      <w:r w:rsidR="004449CA" w:rsidRPr="000C06BD">
        <w:rPr>
          <w:szCs w:val="24"/>
          <w:u w:color="FF0000"/>
        </w:rPr>
        <w:t>art. 26 § 5</w:t>
      </w:r>
      <w:r w:rsidR="004449CA">
        <w:rPr>
          <w:szCs w:val="24"/>
        </w:rPr>
        <w:t xml:space="preserve"> k.k</w:t>
      </w:r>
      <w:proofErr w:type="gramStart"/>
      <w:r w:rsidR="004449CA">
        <w:rPr>
          <w:szCs w:val="24"/>
        </w:rPr>
        <w:t>.). W</w:t>
      </w:r>
      <w:proofErr w:type="gramEnd"/>
      <w:r w:rsidR="004449CA">
        <w:rPr>
          <w:szCs w:val="24"/>
        </w:rPr>
        <w:t xml:space="preserve"> myśl tego przepisu kontratyp stanu wyższej konieczności ma odpowiednie zastosowanie wtedy, gdy z ciążących na sprawcy obowiązków tylko jeden może być spełniony. Sprawca, dokonując wyboru obowiązku, który zamierza spełnić, musi kierować się wartością dobra prawnego, którego ochronie ma służyć wypełnienie obowiązku. W zależności od relacji wartości dobra ratowanego i poświęconego (na skutek zaniechania jednego z kolidujących obowiązków) sytuacja ta (kolizja) może być ujmowana albo jako </w:t>
      </w:r>
      <w:r w:rsidR="004449CA">
        <w:rPr>
          <w:szCs w:val="24"/>
        </w:rPr>
        <w:lastRenderedPageBreak/>
        <w:t>kontratyp (</w:t>
      </w:r>
      <w:r w:rsidR="004449CA" w:rsidRPr="000C06BD">
        <w:rPr>
          <w:szCs w:val="24"/>
          <w:u w:color="FF0000"/>
        </w:rPr>
        <w:t>art. 26 § 1</w:t>
      </w:r>
      <w:r w:rsidR="004449CA">
        <w:rPr>
          <w:szCs w:val="24"/>
        </w:rPr>
        <w:t xml:space="preserve"> k.k.), albo jako okoliczność wyłączająca winę (</w:t>
      </w:r>
      <w:r w:rsidR="004449CA" w:rsidRPr="000C06BD">
        <w:rPr>
          <w:szCs w:val="24"/>
          <w:u w:color="FF0000"/>
        </w:rPr>
        <w:t>art. 26 § 2</w:t>
      </w:r>
      <w:r w:rsidR="004449CA">
        <w:rPr>
          <w:szCs w:val="24"/>
        </w:rPr>
        <w:t xml:space="preserve"> k.k</w:t>
      </w:r>
      <w:proofErr w:type="gramStart"/>
      <w:r w:rsidR="004449CA">
        <w:rPr>
          <w:szCs w:val="24"/>
        </w:rPr>
        <w:t>.)</w:t>
      </w:r>
      <w:r w:rsidR="004449CA">
        <w:rPr>
          <w:rStyle w:val="Odwoanieprzypisudolnego"/>
          <w:szCs w:val="24"/>
        </w:rPr>
        <w:footnoteReference w:id="18"/>
      </w:r>
      <w:r w:rsidR="004449CA">
        <w:rPr>
          <w:szCs w:val="24"/>
        </w:rPr>
        <w:t>. Należy</w:t>
      </w:r>
      <w:proofErr w:type="gramEnd"/>
      <w:r w:rsidR="004449CA">
        <w:rPr>
          <w:szCs w:val="24"/>
        </w:rPr>
        <w:t xml:space="preserve"> jednak podkreślić, że w doktrynie znany jest pogląd mówiący, iż tzw. kolizja obowiązków jest </w:t>
      </w:r>
      <w:r w:rsidR="004449CA">
        <w:rPr>
          <w:i/>
          <w:szCs w:val="24"/>
        </w:rPr>
        <w:t>de facto</w:t>
      </w:r>
      <w:r w:rsidR="004449CA">
        <w:rPr>
          <w:szCs w:val="24"/>
        </w:rPr>
        <w:t xml:space="preserve"> pozorna, w każdym bowiem przypadku, w którym zdaje się ona występować, problem sprowadza się do wnikliwej egzegezy norm, sformułowanych przez racjonalnego ustawodawcę w sposób bezkolizyjny. Zdaniem J. Majewskiego nie jest możliwe, aby na kimkolwiek ciążyły jednocześnie kolidujące ze sobą obowiązki prawne (tzn. obowiązki </w:t>
      </w:r>
      <w:proofErr w:type="gramStart"/>
      <w:r w:rsidR="004449CA">
        <w:rPr>
          <w:szCs w:val="24"/>
        </w:rPr>
        <w:t>narzucone przez co</w:t>
      </w:r>
      <w:proofErr w:type="gramEnd"/>
      <w:r w:rsidR="004449CA">
        <w:rPr>
          <w:szCs w:val="24"/>
        </w:rPr>
        <w:t xml:space="preserve"> najmniej dwie formalnie niezgodne ze sobą normy prawne)</w:t>
      </w:r>
      <w:r w:rsidR="004449CA">
        <w:rPr>
          <w:rStyle w:val="Odwoanieprzypisudolnego"/>
          <w:szCs w:val="24"/>
        </w:rPr>
        <w:footnoteReference w:id="19"/>
      </w:r>
      <w:r w:rsidR="004449CA">
        <w:rPr>
          <w:szCs w:val="24"/>
        </w:rPr>
        <w:t>.</w:t>
      </w:r>
    </w:p>
    <w:p w:rsidR="004449CA" w:rsidRDefault="008532DB" w:rsidP="004449CA">
      <w:pPr>
        <w:widowControl/>
        <w:autoSpaceDE w:val="0"/>
        <w:autoSpaceDN w:val="0"/>
        <w:adjustRightInd w:val="0"/>
        <w:rPr>
          <w:szCs w:val="24"/>
        </w:rPr>
      </w:pPr>
      <w:r>
        <w:rPr>
          <w:szCs w:val="24"/>
        </w:rPr>
        <w:t xml:space="preserve">       </w:t>
      </w:r>
      <w:r w:rsidR="004449CA">
        <w:rPr>
          <w:szCs w:val="24"/>
        </w:rPr>
        <w:t xml:space="preserve">Należy zwrócić uwagę na fakt, że na gruncie </w:t>
      </w:r>
      <w:r w:rsidR="004449CA">
        <w:rPr>
          <w:b/>
          <w:szCs w:val="24"/>
        </w:rPr>
        <w:t>kodeksu cywilnego</w:t>
      </w:r>
      <w:r w:rsidR="004449CA">
        <w:rPr>
          <w:szCs w:val="24"/>
        </w:rPr>
        <w:t xml:space="preserve"> występuje inne ujęcie stanu wyższej konieczności (</w:t>
      </w:r>
      <w:r w:rsidR="004449CA" w:rsidRPr="000C06BD">
        <w:rPr>
          <w:szCs w:val="24"/>
          <w:u w:color="FF0000"/>
        </w:rPr>
        <w:t>art. 424</w:t>
      </w:r>
      <w:r w:rsidR="004449CA">
        <w:rPr>
          <w:szCs w:val="24"/>
        </w:rPr>
        <w:t xml:space="preserve"> i </w:t>
      </w:r>
      <w:r w:rsidR="004449CA" w:rsidRPr="000C06BD">
        <w:rPr>
          <w:szCs w:val="24"/>
          <w:u w:color="FF0000"/>
        </w:rPr>
        <w:t>142</w:t>
      </w:r>
      <w:r w:rsidR="004449CA">
        <w:rPr>
          <w:szCs w:val="24"/>
        </w:rPr>
        <w:t xml:space="preserve"> k.c.). I tak, stosownie do </w:t>
      </w:r>
      <w:r w:rsidR="004449CA" w:rsidRPr="000C06BD">
        <w:rPr>
          <w:szCs w:val="24"/>
          <w:u w:color="FF0000"/>
        </w:rPr>
        <w:t>art. 424</w:t>
      </w:r>
      <w:r w:rsidR="004449CA">
        <w:rPr>
          <w:szCs w:val="24"/>
        </w:rPr>
        <w:t xml:space="preserve"> k.c. (zwanego defensywnym stanem wyższej </w:t>
      </w:r>
      <w:proofErr w:type="gramStart"/>
      <w:r w:rsidR="004449CA">
        <w:rPr>
          <w:szCs w:val="24"/>
        </w:rPr>
        <w:t>konieczności): „Kto</w:t>
      </w:r>
      <w:proofErr w:type="gramEnd"/>
      <w:r w:rsidR="004449CA">
        <w:rPr>
          <w:szCs w:val="24"/>
        </w:rPr>
        <w:t xml:space="preserve"> zniszczył lub uszkodził cudzą rzecz albo zabił lub zranił cudze zwierzę w celu odwrócenia od siebie lub od innych niebezpieczeństwa grożącego bezpośrednio od tej rzeczy lub zwierzęcia, ten nie jest odpowiedzialny za wynikłą stąd szkodę, jeżeli niebezpieczeństwa sam nie wywołał, a niebezpieczeństwa nie można było inaczej uniknąć i jeżeli ratowane dobro jest oczywiście ważniejsze aniżeli dobro naruszone”</w:t>
      </w:r>
      <w:r w:rsidR="004449CA">
        <w:rPr>
          <w:rStyle w:val="Odwoanieprzypisudolnego"/>
          <w:szCs w:val="24"/>
        </w:rPr>
        <w:footnoteReference w:id="20"/>
      </w:r>
      <w:r w:rsidR="004449CA">
        <w:rPr>
          <w:szCs w:val="24"/>
        </w:rPr>
        <w:t xml:space="preserve">. W tym wypadku stan wyższej konieczności w prawie cywilnym skonstruowany jest znacznie </w:t>
      </w:r>
      <w:r w:rsidR="004449CA">
        <w:rPr>
          <w:b/>
          <w:szCs w:val="24"/>
        </w:rPr>
        <w:t xml:space="preserve">węziej </w:t>
      </w:r>
      <w:r w:rsidR="004449CA">
        <w:rPr>
          <w:szCs w:val="24"/>
        </w:rPr>
        <w:t>niż w prawie karnym. W takim razie czyn dokonany w ramach stanu wyższej konieczności odpowiadający warunkom prawa karnego, a nieodpowiadający warunkom prawa cywilnego, nie stanowi przestępstwa, ale stanowi bezprawie cywilne i jego sprawca jest obowiązany do naprawienia szkody. A co jest szczególnie istotne, przeciwko temu bezprawiu (cywilnemu) służy obrona konieczna (w rozumieniu art. 25 § 1 k.k</w:t>
      </w:r>
      <w:proofErr w:type="gramStart"/>
      <w:r w:rsidR="004449CA">
        <w:rPr>
          <w:szCs w:val="24"/>
        </w:rPr>
        <w:t>.</w:t>
      </w:r>
      <w:r w:rsidR="004449CA">
        <w:rPr>
          <w:rStyle w:val="Odwoanieprzypisudolnego"/>
          <w:szCs w:val="24"/>
        </w:rPr>
        <w:footnoteReference w:id="21"/>
      </w:r>
      <w:r w:rsidR="004449CA">
        <w:rPr>
          <w:szCs w:val="24"/>
        </w:rPr>
        <w:t>). Nie</w:t>
      </w:r>
      <w:proofErr w:type="gramEnd"/>
      <w:r w:rsidR="004449CA">
        <w:rPr>
          <w:szCs w:val="24"/>
        </w:rPr>
        <w:t xml:space="preserve"> można jednak tracić z pola widzenia </w:t>
      </w:r>
      <w:r w:rsidR="004449CA" w:rsidRPr="000C06BD">
        <w:rPr>
          <w:szCs w:val="24"/>
          <w:u w:color="FF0000"/>
        </w:rPr>
        <w:t>art. 142</w:t>
      </w:r>
      <w:r w:rsidR="004449CA">
        <w:rPr>
          <w:szCs w:val="24"/>
        </w:rPr>
        <w:t xml:space="preserve"> k.c. (tzw. agresywny stan wyższej konieczności), który </w:t>
      </w:r>
      <w:proofErr w:type="gramStart"/>
      <w:r w:rsidR="004449CA">
        <w:rPr>
          <w:szCs w:val="24"/>
        </w:rPr>
        <w:t>stanowi co</w:t>
      </w:r>
      <w:proofErr w:type="gramEnd"/>
      <w:r w:rsidR="004449CA">
        <w:rPr>
          <w:szCs w:val="24"/>
        </w:rPr>
        <w:t xml:space="preserve"> następuje: „§ 1. Właściciel nie może sprzeciwić się użyciu lub uszkodzeniu lub zniszczeniu rzeczy przez inną osobę, jeżeli jest to konieczne do odwrócenia niebezpieczeństwa grożącego dobrom osobistym tej osoby lub osoby trzeciej. Może jednak żądać naprawienia wynikłej stąd szkody. § 2. Przepis powyższy stosuje się także w razie niebezpieczeństwa grożącego dobrom majątkowym, </w:t>
      </w:r>
      <w:proofErr w:type="gramStart"/>
      <w:r w:rsidR="004449CA">
        <w:rPr>
          <w:szCs w:val="24"/>
        </w:rPr>
        <w:t>chyba że</w:t>
      </w:r>
      <w:proofErr w:type="gramEnd"/>
      <w:r w:rsidR="004449CA">
        <w:rPr>
          <w:szCs w:val="24"/>
        </w:rPr>
        <w:t xml:space="preserve"> grożąca szkoda jest oczywiście i niewspółmiernie mniejsza aniżeli uszczerbek, który mógłby ponieść właściciel wskutek użycia, uszkodzenia lub zniszczenia rzeczy”. W tym wypadku ujęcie jest szersze niż na gruncie kodeksu karnego, a przeciwko działaniu podjętemu w ramach uprawnień wynikających z </w:t>
      </w:r>
      <w:r w:rsidR="004449CA" w:rsidRPr="000C06BD">
        <w:rPr>
          <w:szCs w:val="24"/>
          <w:u w:color="FF0000"/>
        </w:rPr>
        <w:t>art. 142</w:t>
      </w:r>
      <w:r w:rsidR="004449CA">
        <w:rPr>
          <w:szCs w:val="24"/>
        </w:rPr>
        <w:t xml:space="preserve"> k.c. nie przysługuje obrona </w:t>
      </w:r>
      <w:proofErr w:type="gramStart"/>
      <w:r w:rsidR="004449CA">
        <w:rPr>
          <w:szCs w:val="24"/>
        </w:rPr>
        <w:t>konieczna (ponieważ</w:t>
      </w:r>
      <w:proofErr w:type="gramEnd"/>
      <w:r w:rsidR="004449CA">
        <w:rPr>
          <w:szCs w:val="24"/>
        </w:rPr>
        <w:t xml:space="preserve"> jest to działanie legalne). Zasadny jest postulat mówiący o potrzebie zmiany unormowań </w:t>
      </w:r>
      <w:r w:rsidR="004449CA" w:rsidRPr="000C06BD">
        <w:rPr>
          <w:szCs w:val="24"/>
          <w:u w:color="FF0000"/>
        </w:rPr>
        <w:t>art. 142</w:t>
      </w:r>
      <w:r w:rsidR="004449CA">
        <w:rPr>
          <w:szCs w:val="24"/>
        </w:rPr>
        <w:t xml:space="preserve"> k.c. </w:t>
      </w:r>
      <w:proofErr w:type="gramStart"/>
      <w:r w:rsidR="004449CA">
        <w:rPr>
          <w:szCs w:val="24"/>
        </w:rPr>
        <w:t>w</w:t>
      </w:r>
      <w:proofErr w:type="gramEnd"/>
      <w:r w:rsidR="004449CA">
        <w:rPr>
          <w:szCs w:val="24"/>
        </w:rPr>
        <w:t xml:space="preserve"> kierunku jego zharmonizowania nie tylko z </w:t>
      </w:r>
      <w:r w:rsidR="004449CA" w:rsidRPr="000C06BD">
        <w:rPr>
          <w:szCs w:val="24"/>
          <w:u w:color="FF0000"/>
        </w:rPr>
        <w:t>art. 26</w:t>
      </w:r>
      <w:r w:rsidR="004449CA">
        <w:rPr>
          <w:szCs w:val="24"/>
        </w:rPr>
        <w:t xml:space="preserve"> k.k., ale i z art. 424 k.c.</w:t>
      </w:r>
      <w:r w:rsidR="004449CA">
        <w:rPr>
          <w:rStyle w:val="Odwoanieprzypisudolnego"/>
          <w:szCs w:val="24"/>
        </w:rPr>
        <w:footnoteReference w:id="22"/>
      </w:r>
    </w:p>
    <w:p w:rsidR="008135D8" w:rsidRDefault="008135D8"/>
    <w:sectPr w:rsidR="008135D8" w:rsidSect="008135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F5D" w:rsidRDefault="00991F5D" w:rsidP="004449CA">
      <w:r>
        <w:separator/>
      </w:r>
    </w:p>
  </w:endnote>
  <w:endnote w:type="continuationSeparator" w:id="0">
    <w:p w:rsidR="00991F5D" w:rsidRDefault="00991F5D" w:rsidP="004449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F5D" w:rsidRDefault="00991F5D" w:rsidP="004449CA">
      <w:r>
        <w:separator/>
      </w:r>
    </w:p>
  </w:footnote>
  <w:footnote w:type="continuationSeparator" w:id="0">
    <w:p w:rsidR="00991F5D" w:rsidRDefault="00991F5D" w:rsidP="004449CA">
      <w:r>
        <w:continuationSeparator/>
      </w:r>
    </w:p>
  </w:footnote>
  <w:footnote w:id="1">
    <w:p w:rsidR="004449CA" w:rsidRDefault="004449CA" w:rsidP="004449CA">
      <w:pPr>
        <w:pStyle w:val="Tekstprzypisudolnego"/>
      </w:pPr>
      <w:r>
        <w:rPr>
          <w:rStyle w:val="Odwoanieprzypisudolnego"/>
          <w:szCs w:val="24"/>
        </w:rPr>
        <w:footnoteRef/>
      </w:r>
      <w:r>
        <w:rPr>
          <w:rStyle w:val="Odwoanieprzypisudolnego"/>
          <w:szCs w:val="24"/>
        </w:rPr>
        <w:t xml:space="preserve"> </w:t>
      </w:r>
      <w:r>
        <w:rPr>
          <w:i/>
          <w:szCs w:val="24"/>
        </w:rPr>
        <w:t xml:space="preserve">Uzasadnienie rządowego projektu kodeksu karnego </w:t>
      </w:r>
      <w:r>
        <w:rPr>
          <w:szCs w:val="24"/>
        </w:rPr>
        <w:t xml:space="preserve">(w:) </w:t>
      </w:r>
      <w:r>
        <w:rPr>
          <w:i/>
          <w:szCs w:val="24"/>
        </w:rPr>
        <w:t>Nowe kodeksy karne z 1997 r. z uzasadnieniami</w:t>
      </w:r>
      <w:r>
        <w:rPr>
          <w:szCs w:val="24"/>
        </w:rPr>
        <w:t xml:space="preserve">, red. I. </w:t>
      </w:r>
      <w:proofErr w:type="spellStart"/>
      <w:r>
        <w:rPr>
          <w:szCs w:val="24"/>
        </w:rPr>
        <w:t>Fredrich-Michalska</w:t>
      </w:r>
      <w:proofErr w:type="spellEnd"/>
      <w:r>
        <w:rPr>
          <w:szCs w:val="24"/>
        </w:rPr>
        <w:t xml:space="preserve">, B. </w:t>
      </w:r>
      <w:proofErr w:type="spellStart"/>
      <w:r>
        <w:rPr>
          <w:szCs w:val="24"/>
        </w:rPr>
        <w:t>Stachurska-Marcińczak</w:t>
      </w:r>
      <w:proofErr w:type="spellEnd"/>
      <w:r>
        <w:rPr>
          <w:szCs w:val="24"/>
        </w:rPr>
        <w:t>, Warszawa 1997, s. 131.</w:t>
      </w:r>
    </w:p>
  </w:footnote>
  <w:footnote w:id="2">
    <w:p w:rsidR="004449CA" w:rsidRDefault="004449CA" w:rsidP="004449CA">
      <w:pPr>
        <w:pStyle w:val="Tekstprzypisudolnego"/>
      </w:pPr>
      <w:r>
        <w:rPr>
          <w:rStyle w:val="Odwoanieprzypisudolnego"/>
          <w:szCs w:val="24"/>
        </w:rPr>
        <w:footnoteRef/>
      </w:r>
      <w:r>
        <w:rPr>
          <w:rStyle w:val="Odwoanieprzypisudolnego"/>
          <w:szCs w:val="24"/>
        </w:rPr>
        <w:t xml:space="preserve"> </w:t>
      </w:r>
      <w:proofErr w:type="spellStart"/>
      <w:r>
        <w:rPr>
          <w:i/>
          <w:szCs w:val="24"/>
        </w:rPr>
        <w:t>Ibidem</w:t>
      </w:r>
      <w:proofErr w:type="spellEnd"/>
      <w:r>
        <w:rPr>
          <w:szCs w:val="24"/>
        </w:rPr>
        <w:t>.</w:t>
      </w:r>
    </w:p>
  </w:footnote>
  <w:footnote w:id="3">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A. </w:t>
      </w:r>
      <w:proofErr w:type="spellStart"/>
      <w:r>
        <w:rPr>
          <w:szCs w:val="24"/>
        </w:rPr>
        <w:t>Spotowski</w:t>
      </w:r>
      <w:proofErr w:type="spellEnd"/>
      <w:r>
        <w:rPr>
          <w:szCs w:val="24"/>
        </w:rPr>
        <w:t xml:space="preserve">, </w:t>
      </w:r>
      <w:r>
        <w:rPr>
          <w:i/>
          <w:szCs w:val="24"/>
        </w:rPr>
        <w:t>Funkcja</w:t>
      </w:r>
      <w:r w:rsidR="004C6ADE">
        <w:rPr>
          <w:i/>
          <w:szCs w:val="24"/>
        </w:rPr>
        <w:t xml:space="preserve"> niebezpieczeństwa w prawie karnym, </w:t>
      </w:r>
      <w:proofErr w:type="gramStart"/>
      <w:r w:rsidR="004C6ADE">
        <w:rPr>
          <w:i/>
          <w:szCs w:val="24"/>
        </w:rPr>
        <w:t xml:space="preserve">Warszawa 1990, </w:t>
      </w:r>
      <w:r>
        <w:rPr>
          <w:szCs w:val="24"/>
        </w:rPr>
        <w:t xml:space="preserve"> s</w:t>
      </w:r>
      <w:proofErr w:type="gramEnd"/>
      <w:r>
        <w:rPr>
          <w:szCs w:val="24"/>
        </w:rPr>
        <w:t>. 69.</w:t>
      </w:r>
    </w:p>
  </w:footnote>
  <w:footnote w:id="4">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A. Marek, </w:t>
      </w:r>
      <w:r>
        <w:rPr>
          <w:i/>
          <w:szCs w:val="24"/>
        </w:rPr>
        <w:t xml:space="preserve">Stopień społecznego niebezpieczeństwa </w:t>
      </w:r>
      <w:proofErr w:type="gramStart"/>
      <w:r>
        <w:rPr>
          <w:i/>
          <w:szCs w:val="24"/>
        </w:rPr>
        <w:t>czynu jako</w:t>
      </w:r>
      <w:proofErr w:type="gramEnd"/>
      <w:r>
        <w:rPr>
          <w:i/>
          <w:szCs w:val="24"/>
        </w:rPr>
        <w:t xml:space="preserve"> podstawa umorzenia postępowania karnego</w:t>
      </w:r>
      <w:r>
        <w:rPr>
          <w:szCs w:val="24"/>
        </w:rPr>
        <w:t>, Toruń 1970, s. 57.</w:t>
      </w:r>
    </w:p>
  </w:footnote>
  <w:footnote w:id="5">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A. Wąsek (w:) O. </w:t>
      </w:r>
      <w:proofErr w:type="spellStart"/>
      <w:r>
        <w:rPr>
          <w:szCs w:val="24"/>
        </w:rPr>
        <w:t>Górniok</w:t>
      </w:r>
      <w:proofErr w:type="spellEnd"/>
      <w:r w:rsidR="007E0101">
        <w:rPr>
          <w:szCs w:val="24"/>
        </w:rPr>
        <w:t xml:space="preserve">, </w:t>
      </w:r>
      <w:proofErr w:type="spellStart"/>
      <w:r w:rsidR="007E0101">
        <w:rPr>
          <w:szCs w:val="24"/>
        </w:rPr>
        <w:t>S.Hoc</w:t>
      </w:r>
      <w:proofErr w:type="spellEnd"/>
      <w:r w:rsidR="007E0101">
        <w:rPr>
          <w:szCs w:val="24"/>
        </w:rPr>
        <w:t xml:space="preserve">, </w:t>
      </w:r>
      <w:proofErr w:type="spellStart"/>
      <w:r w:rsidR="007E0101">
        <w:rPr>
          <w:szCs w:val="24"/>
        </w:rPr>
        <w:t>M.K</w:t>
      </w:r>
      <w:r w:rsidR="009C76AC">
        <w:rPr>
          <w:szCs w:val="24"/>
        </w:rPr>
        <w:t>alitowski</w:t>
      </w:r>
      <w:proofErr w:type="spellEnd"/>
      <w:r w:rsidR="009C76AC">
        <w:rPr>
          <w:szCs w:val="24"/>
        </w:rPr>
        <w:t xml:space="preserve">, </w:t>
      </w:r>
      <w:proofErr w:type="spellStart"/>
      <w:r w:rsidR="009C76AC">
        <w:rPr>
          <w:szCs w:val="24"/>
        </w:rPr>
        <w:t>S.Przyjemski</w:t>
      </w:r>
      <w:proofErr w:type="spellEnd"/>
      <w:r w:rsidR="009C76AC">
        <w:rPr>
          <w:szCs w:val="24"/>
        </w:rPr>
        <w:t>,</w:t>
      </w:r>
      <w:r w:rsidR="007E0101">
        <w:rPr>
          <w:szCs w:val="24"/>
        </w:rPr>
        <w:t xml:space="preserve"> </w:t>
      </w:r>
      <w:proofErr w:type="spellStart"/>
      <w:r w:rsidR="007E0101">
        <w:rPr>
          <w:szCs w:val="24"/>
        </w:rPr>
        <w:t>Z.Sienkiewicz</w:t>
      </w:r>
      <w:proofErr w:type="spellEnd"/>
      <w:r w:rsidR="007E0101">
        <w:rPr>
          <w:szCs w:val="24"/>
        </w:rPr>
        <w:t xml:space="preserve">, </w:t>
      </w:r>
      <w:proofErr w:type="spellStart"/>
      <w:r w:rsidR="007E0101">
        <w:rPr>
          <w:szCs w:val="24"/>
        </w:rPr>
        <w:t>J.Sz</w:t>
      </w:r>
      <w:r w:rsidR="009C76AC">
        <w:rPr>
          <w:szCs w:val="24"/>
        </w:rPr>
        <w:t>umski</w:t>
      </w:r>
      <w:proofErr w:type="spellEnd"/>
      <w:r w:rsidR="009C76AC">
        <w:rPr>
          <w:szCs w:val="24"/>
        </w:rPr>
        <w:t>,</w:t>
      </w:r>
      <w:r w:rsidR="007E0101">
        <w:rPr>
          <w:szCs w:val="24"/>
        </w:rPr>
        <w:t xml:space="preserve"> </w:t>
      </w:r>
      <w:proofErr w:type="spellStart"/>
      <w:r w:rsidR="00421A91">
        <w:rPr>
          <w:szCs w:val="24"/>
        </w:rPr>
        <w:t>A.Wą</w:t>
      </w:r>
      <w:r w:rsidR="009C76AC">
        <w:rPr>
          <w:szCs w:val="24"/>
        </w:rPr>
        <w:t>sek</w:t>
      </w:r>
      <w:proofErr w:type="spellEnd"/>
      <w:r>
        <w:rPr>
          <w:szCs w:val="24"/>
        </w:rPr>
        <w:t xml:space="preserve">, </w:t>
      </w:r>
      <w:r>
        <w:rPr>
          <w:i/>
          <w:szCs w:val="24"/>
        </w:rPr>
        <w:t>Kodeks</w:t>
      </w:r>
      <w:r w:rsidR="00275B3B">
        <w:rPr>
          <w:i/>
          <w:szCs w:val="24"/>
        </w:rPr>
        <w:t xml:space="preserve"> Karny. Ko</w:t>
      </w:r>
      <w:r w:rsidR="009C76AC">
        <w:rPr>
          <w:i/>
          <w:szCs w:val="24"/>
        </w:rPr>
        <w:t>mentarz</w:t>
      </w:r>
      <w:r w:rsidR="00275B3B">
        <w:rPr>
          <w:i/>
          <w:szCs w:val="24"/>
        </w:rPr>
        <w:t xml:space="preserve">, </w:t>
      </w:r>
      <w:proofErr w:type="gramStart"/>
      <w:r w:rsidR="00275B3B" w:rsidRPr="00421A91">
        <w:rPr>
          <w:szCs w:val="24"/>
        </w:rPr>
        <w:t>Gdańsk 20</w:t>
      </w:r>
      <w:r w:rsidR="00421A91">
        <w:rPr>
          <w:szCs w:val="24"/>
        </w:rPr>
        <w:t>0</w:t>
      </w:r>
      <w:r w:rsidR="00275B3B" w:rsidRPr="00421A91">
        <w:rPr>
          <w:szCs w:val="24"/>
        </w:rPr>
        <w:t>5,</w:t>
      </w:r>
      <w:r w:rsidR="00275B3B">
        <w:rPr>
          <w:i/>
          <w:szCs w:val="24"/>
        </w:rPr>
        <w:t xml:space="preserve">  t</w:t>
      </w:r>
      <w:proofErr w:type="gramEnd"/>
      <w:r>
        <w:rPr>
          <w:szCs w:val="24"/>
        </w:rPr>
        <w:t>. I, s. 353.</w:t>
      </w:r>
    </w:p>
  </w:footnote>
  <w:footnote w:id="6">
    <w:p w:rsidR="004449CA" w:rsidRDefault="004449CA" w:rsidP="004449CA">
      <w:pPr>
        <w:pStyle w:val="Tekstprzypisudolnego"/>
      </w:pPr>
      <w:r>
        <w:rPr>
          <w:rStyle w:val="Odwoanieprzypisudolnego"/>
          <w:szCs w:val="24"/>
        </w:rPr>
        <w:footnoteRef/>
      </w:r>
      <w:r>
        <w:rPr>
          <w:rStyle w:val="Odwoanieprzypisudolnego"/>
          <w:szCs w:val="24"/>
        </w:rPr>
        <w:t xml:space="preserve"> </w:t>
      </w:r>
      <w:proofErr w:type="spellStart"/>
      <w:r>
        <w:rPr>
          <w:i/>
          <w:szCs w:val="24"/>
        </w:rPr>
        <w:t>Ibidem</w:t>
      </w:r>
      <w:proofErr w:type="spellEnd"/>
      <w:r>
        <w:rPr>
          <w:szCs w:val="24"/>
        </w:rPr>
        <w:t>, s. 354.</w:t>
      </w:r>
    </w:p>
  </w:footnote>
  <w:footnote w:id="7">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A. </w:t>
      </w:r>
      <w:proofErr w:type="spellStart"/>
      <w:r>
        <w:rPr>
          <w:szCs w:val="24"/>
        </w:rPr>
        <w:t>Spotowski</w:t>
      </w:r>
      <w:proofErr w:type="spellEnd"/>
      <w:r>
        <w:rPr>
          <w:szCs w:val="24"/>
        </w:rPr>
        <w:t xml:space="preserve">, </w:t>
      </w:r>
      <w:r>
        <w:rPr>
          <w:i/>
          <w:szCs w:val="24"/>
        </w:rPr>
        <w:t>Funkcja...</w:t>
      </w:r>
      <w:r>
        <w:rPr>
          <w:szCs w:val="24"/>
        </w:rPr>
        <w:t xml:space="preserve">, </w:t>
      </w:r>
      <w:proofErr w:type="gramStart"/>
      <w:r>
        <w:rPr>
          <w:szCs w:val="24"/>
        </w:rPr>
        <w:t>s</w:t>
      </w:r>
      <w:proofErr w:type="gramEnd"/>
      <w:r>
        <w:rPr>
          <w:szCs w:val="24"/>
        </w:rPr>
        <w:t xml:space="preserve">. </w:t>
      </w:r>
      <w:proofErr w:type="spellStart"/>
      <w:r>
        <w:rPr>
          <w:szCs w:val="24"/>
        </w:rPr>
        <w:t>271–272</w:t>
      </w:r>
      <w:proofErr w:type="spellEnd"/>
      <w:r>
        <w:rPr>
          <w:szCs w:val="24"/>
        </w:rPr>
        <w:t>.</w:t>
      </w:r>
    </w:p>
  </w:footnote>
  <w:footnote w:id="8">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J. Lachowski, </w:t>
      </w:r>
      <w:r>
        <w:rPr>
          <w:i/>
          <w:szCs w:val="24"/>
        </w:rPr>
        <w:t>Stan wyższej konieczności w polskim prawie karnym</w:t>
      </w:r>
      <w:r>
        <w:rPr>
          <w:szCs w:val="24"/>
        </w:rPr>
        <w:t xml:space="preserve">, Warszawa 2005, s. </w:t>
      </w:r>
      <w:proofErr w:type="spellStart"/>
      <w:r>
        <w:rPr>
          <w:szCs w:val="24"/>
        </w:rPr>
        <w:t>83–84</w:t>
      </w:r>
      <w:proofErr w:type="spellEnd"/>
      <w:r>
        <w:rPr>
          <w:szCs w:val="24"/>
        </w:rPr>
        <w:t>.</w:t>
      </w:r>
    </w:p>
  </w:footnote>
  <w:footnote w:id="9">
    <w:p w:rsidR="004449CA" w:rsidRDefault="004449CA" w:rsidP="004449CA">
      <w:pPr>
        <w:pStyle w:val="Tekstprzypisudolnego"/>
      </w:pPr>
      <w:r>
        <w:rPr>
          <w:rStyle w:val="Odwoanieprzypisudolnego"/>
          <w:szCs w:val="24"/>
        </w:rPr>
        <w:footnoteRef/>
      </w:r>
      <w:r>
        <w:rPr>
          <w:rStyle w:val="Odwoanieprzypisudolnego"/>
          <w:szCs w:val="24"/>
        </w:rPr>
        <w:t xml:space="preserve"> </w:t>
      </w:r>
      <w:proofErr w:type="spellStart"/>
      <w:r>
        <w:rPr>
          <w:i/>
          <w:szCs w:val="24"/>
        </w:rPr>
        <w:t>Ibidem</w:t>
      </w:r>
      <w:proofErr w:type="spellEnd"/>
      <w:r>
        <w:rPr>
          <w:szCs w:val="24"/>
        </w:rPr>
        <w:t xml:space="preserve">, s. 84. Por też wyrok SN z dnia 5 sierpnia 1987 r., </w:t>
      </w:r>
      <w:r w:rsidRPr="004449CA">
        <w:rPr>
          <w:szCs w:val="24"/>
          <w:u w:color="FF0000"/>
        </w:rPr>
        <w:t>V KRN 191/87</w:t>
      </w:r>
      <w:r>
        <w:rPr>
          <w:szCs w:val="24"/>
        </w:rPr>
        <w:t xml:space="preserve">, </w:t>
      </w:r>
      <w:proofErr w:type="spellStart"/>
      <w:r>
        <w:rPr>
          <w:szCs w:val="24"/>
        </w:rPr>
        <w:t>OSNPG</w:t>
      </w:r>
      <w:proofErr w:type="spellEnd"/>
      <w:r>
        <w:rPr>
          <w:szCs w:val="24"/>
        </w:rPr>
        <w:t xml:space="preserve"> 1988, nr 6, poz. 52.</w:t>
      </w:r>
    </w:p>
  </w:footnote>
  <w:footnote w:id="10">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A. Wąsek, </w:t>
      </w:r>
      <w:r>
        <w:rPr>
          <w:i/>
          <w:szCs w:val="24"/>
        </w:rPr>
        <w:t>Sporne kwestie stanu wyższej konieczności w prawie karnym</w:t>
      </w:r>
      <w:r>
        <w:rPr>
          <w:szCs w:val="24"/>
        </w:rPr>
        <w:t xml:space="preserve">, </w:t>
      </w:r>
      <w:proofErr w:type="spellStart"/>
      <w:r>
        <w:rPr>
          <w:szCs w:val="24"/>
        </w:rPr>
        <w:t>PPK</w:t>
      </w:r>
      <w:proofErr w:type="spellEnd"/>
      <w:r>
        <w:rPr>
          <w:szCs w:val="24"/>
        </w:rPr>
        <w:t xml:space="preserve"> 1997, nr 7, s. 29; </w:t>
      </w:r>
      <w:r>
        <w:rPr>
          <w:i/>
          <w:szCs w:val="24"/>
        </w:rPr>
        <w:t>idem</w:t>
      </w:r>
      <w:r>
        <w:rPr>
          <w:szCs w:val="24"/>
        </w:rPr>
        <w:t xml:space="preserve"> (w:) O. </w:t>
      </w:r>
      <w:proofErr w:type="spellStart"/>
      <w:r>
        <w:rPr>
          <w:szCs w:val="24"/>
        </w:rPr>
        <w:t>Górniok</w:t>
      </w:r>
      <w:proofErr w:type="spellEnd"/>
      <w:r>
        <w:rPr>
          <w:szCs w:val="24"/>
        </w:rPr>
        <w:t xml:space="preserve"> [et al.], </w:t>
      </w:r>
      <w:r>
        <w:rPr>
          <w:i/>
          <w:szCs w:val="24"/>
        </w:rPr>
        <w:t>Kodeks...</w:t>
      </w:r>
      <w:r>
        <w:rPr>
          <w:szCs w:val="24"/>
        </w:rPr>
        <w:t xml:space="preserve">, </w:t>
      </w:r>
      <w:proofErr w:type="gramStart"/>
      <w:r>
        <w:rPr>
          <w:szCs w:val="24"/>
        </w:rPr>
        <w:t>t</w:t>
      </w:r>
      <w:proofErr w:type="gramEnd"/>
      <w:r>
        <w:rPr>
          <w:szCs w:val="24"/>
        </w:rPr>
        <w:t>. I, s. 358.</w:t>
      </w:r>
    </w:p>
  </w:footnote>
  <w:footnote w:id="11">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A. Marek, </w:t>
      </w:r>
      <w:r>
        <w:rPr>
          <w:i/>
          <w:szCs w:val="24"/>
        </w:rPr>
        <w:t>Prawo</w:t>
      </w:r>
      <w:r w:rsidR="003A3799">
        <w:rPr>
          <w:i/>
          <w:szCs w:val="24"/>
        </w:rPr>
        <w:t xml:space="preserve"> karne, </w:t>
      </w:r>
      <w:proofErr w:type="gramStart"/>
      <w:r w:rsidR="003A3799">
        <w:rPr>
          <w:i/>
          <w:szCs w:val="24"/>
        </w:rPr>
        <w:t xml:space="preserve">Warszawa 2006, </w:t>
      </w:r>
      <w:r w:rsidR="00421A91">
        <w:rPr>
          <w:szCs w:val="24"/>
        </w:rPr>
        <w:t xml:space="preserve"> s</w:t>
      </w:r>
      <w:proofErr w:type="gramEnd"/>
      <w:r w:rsidR="00421A91">
        <w:rPr>
          <w:szCs w:val="24"/>
        </w:rPr>
        <w:t>. 174</w:t>
      </w:r>
      <w:r>
        <w:rPr>
          <w:szCs w:val="24"/>
        </w:rPr>
        <w:t>.</w:t>
      </w:r>
    </w:p>
  </w:footnote>
  <w:footnote w:id="12">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A. Zoll (w:) </w:t>
      </w:r>
      <w:r>
        <w:rPr>
          <w:i/>
          <w:szCs w:val="24"/>
        </w:rPr>
        <w:t>Kodeks</w:t>
      </w:r>
      <w:r w:rsidR="007E0101">
        <w:rPr>
          <w:i/>
          <w:szCs w:val="24"/>
        </w:rPr>
        <w:t xml:space="preserve"> </w:t>
      </w:r>
      <w:r w:rsidR="002F76EE">
        <w:rPr>
          <w:i/>
          <w:szCs w:val="24"/>
        </w:rPr>
        <w:t xml:space="preserve">karny. </w:t>
      </w:r>
      <w:proofErr w:type="gramStart"/>
      <w:r w:rsidR="002F76EE">
        <w:rPr>
          <w:i/>
          <w:szCs w:val="24"/>
        </w:rPr>
        <w:t>część</w:t>
      </w:r>
      <w:proofErr w:type="gramEnd"/>
      <w:r w:rsidR="002F76EE">
        <w:rPr>
          <w:i/>
          <w:szCs w:val="24"/>
        </w:rPr>
        <w:t xml:space="preserve"> ogólna, Komentarz, </w:t>
      </w:r>
      <w:proofErr w:type="spellStart"/>
      <w:r w:rsidR="002F76EE">
        <w:rPr>
          <w:i/>
          <w:szCs w:val="24"/>
        </w:rPr>
        <w:t>t.I</w:t>
      </w:r>
      <w:proofErr w:type="spellEnd"/>
      <w:r w:rsidR="002F76EE">
        <w:rPr>
          <w:i/>
          <w:szCs w:val="24"/>
        </w:rPr>
        <w:t xml:space="preserve">, </w:t>
      </w:r>
      <w:r w:rsidR="002F76EE" w:rsidRPr="00421A91">
        <w:rPr>
          <w:szCs w:val="24"/>
        </w:rPr>
        <w:t>(red.</w:t>
      </w:r>
      <w:r w:rsidR="00421A91" w:rsidRPr="00421A91">
        <w:rPr>
          <w:szCs w:val="24"/>
        </w:rPr>
        <w:t xml:space="preserve"> </w:t>
      </w:r>
      <w:proofErr w:type="spellStart"/>
      <w:r w:rsidR="002F76EE" w:rsidRPr="00421A91">
        <w:rPr>
          <w:szCs w:val="24"/>
        </w:rPr>
        <w:t>A.Zoll</w:t>
      </w:r>
      <w:proofErr w:type="spellEnd"/>
      <w:r w:rsidR="002F76EE" w:rsidRPr="00421A91">
        <w:rPr>
          <w:szCs w:val="24"/>
        </w:rPr>
        <w:t>),</w:t>
      </w:r>
      <w:r w:rsidR="002F76EE">
        <w:rPr>
          <w:i/>
          <w:szCs w:val="24"/>
        </w:rPr>
        <w:t xml:space="preserve"> </w:t>
      </w:r>
      <w:proofErr w:type="spellStart"/>
      <w:proofErr w:type="gramStart"/>
      <w:r w:rsidR="002F76EE" w:rsidRPr="002F76EE">
        <w:rPr>
          <w:szCs w:val="24"/>
        </w:rPr>
        <w:t>Zakamycze</w:t>
      </w:r>
      <w:proofErr w:type="spellEnd"/>
      <w:r w:rsidR="002F76EE" w:rsidRPr="002F76EE">
        <w:rPr>
          <w:szCs w:val="24"/>
        </w:rPr>
        <w:t xml:space="preserve"> 2004</w:t>
      </w:r>
      <w:r w:rsidR="002F76EE">
        <w:rPr>
          <w:i/>
          <w:szCs w:val="24"/>
        </w:rPr>
        <w:t xml:space="preserve">, </w:t>
      </w:r>
      <w:r>
        <w:rPr>
          <w:szCs w:val="24"/>
        </w:rPr>
        <w:t xml:space="preserve"> s</w:t>
      </w:r>
      <w:proofErr w:type="gramEnd"/>
      <w:r>
        <w:rPr>
          <w:szCs w:val="24"/>
        </w:rPr>
        <w:t xml:space="preserve">. 500. Por. też L. Chełmicki-Tyszkiewicz, </w:t>
      </w:r>
      <w:r>
        <w:rPr>
          <w:i/>
          <w:szCs w:val="24"/>
        </w:rPr>
        <w:t>Bezrobocie a prawo karne</w:t>
      </w:r>
      <w:r>
        <w:rPr>
          <w:szCs w:val="24"/>
        </w:rPr>
        <w:t>, PS 2003, nr 10, s. 3 i n.</w:t>
      </w:r>
    </w:p>
  </w:footnote>
  <w:footnote w:id="13">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W sprawie K 449/45, </w:t>
      </w:r>
      <w:proofErr w:type="spellStart"/>
      <w:r>
        <w:rPr>
          <w:szCs w:val="24"/>
        </w:rPr>
        <w:t>Zb</w:t>
      </w:r>
      <w:proofErr w:type="spellEnd"/>
      <w:r>
        <w:rPr>
          <w:szCs w:val="24"/>
        </w:rPr>
        <w:t xml:space="preserve">. O. </w:t>
      </w:r>
      <w:proofErr w:type="spellStart"/>
      <w:r>
        <w:rPr>
          <w:szCs w:val="24"/>
        </w:rPr>
        <w:t>1945–1946</w:t>
      </w:r>
      <w:proofErr w:type="spellEnd"/>
      <w:r>
        <w:rPr>
          <w:szCs w:val="24"/>
        </w:rPr>
        <w:t xml:space="preserve">, </w:t>
      </w:r>
      <w:proofErr w:type="gramStart"/>
      <w:r>
        <w:rPr>
          <w:szCs w:val="24"/>
        </w:rPr>
        <w:t>nr</w:t>
      </w:r>
      <w:proofErr w:type="gramEnd"/>
      <w:r>
        <w:rPr>
          <w:szCs w:val="24"/>
        </w:rPr>
        <w:t xml:space="preserve"> I-II, poz. 38 (wyrok z dnia 28 lutego 1946 r.) oskarżeni o niedozwolony wyrób spirytusu tłumaczyli się, iż „użyli wyprodukowanego alkoholu do celów leczniczych, w szczególności do nacierania bydła, chorującego na wrzody i świerzb, a zmuszeni byli produkować alkohol z powodu braku w ich miejscu zamieszkania sklepów monopolowych i że zatem wyrobienie pewnej ilości samogonu miało na celu uchylenie bezpośredniego niebezpieczeństwa, grożącego nie tylko dobru własnemu oskarżonych, lecz i cudzemu”. Sąd Najwyższy oddalił kasację, uznając, że stan wyższej konieczności nie wystąpił.</w:t>
      </w:r>
    </w:p>
  </w:footnote>
  <w:footnote w:id="14">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Wyrok SN z dnia 17 lutego 1989 r., </w:t>
      </w:r>
      <w:r w:rsidRPr="000C06BD">
        <w:rPr>
          <w:szCs w:val="24"/>
          <w:u w:color="FF0000"/>
        </w:rPr>
        <w:t>IV KR 15/89</w:t>
      </w:r>
      <w:r>
        <w:rPr>
          <w:szCs w:val="24"/>
        </w:rPr>
        <w:t xml:space="preserve">, </w:t>
      </w:r>
      <w:proofErr w:type="spellStart"/>
      <w:r>
        <w:rPr>
          <w:szCs w:val="24"/>
        </w:rPr>
        <w:t>OSNKW</w:t>
      </w:r>
      <w:proofErr w:type="spellEnd"/>
      <w:r>
        <w:rPr>
          <w:szCs w:val="24"/>
        </w:rPr>
        <w:t xml:space="preserve"> 1989, nr </w:t>
      </w:r>
      <w:proofErr w:type="spellStart"/>
      <w:r>
        <w:rPr>
          <w:szCs w:val="24"/>
        </w:rPr>
        <w:t>5–6</w:t>
      </w:r>
      <w:proofErr w:type="spellEnd"/>
      <w:r>
        <w:rPr>
          <w:szCs w:val="24"/>
        </w:rPr>
        <w:t xml:space="preserve">, poz. 42; A. Wąsek (w:) O. </w:t>
      </w:r>
      <w:proofErr w:type="spellStart"/>
      <w:r>
        <w:rPr>
          <w:szCs w:val="24"/>
        </w:rPr>
        <w:t>Górniok</w:t>
      </w:r>
      <w:proofErr w:type="spellEnd"/>
      <w:r>
        <w:rPr>
          <w:szCs w:val="24"/>
        </w:rPr>
        <w:t xml:space="preserve"> [et al.], </w:t>
      </w:r>
      <w:r>
        <w:rPr>
          <w:i/>
          <w:szCs w:val="24"/>
        </w:rPr>
        <w:t>Kodeks...</w:t>
      </w:r>
      <w:r>
        <w:rPr>
          <w:szCs w:val="24"/>
        </w:rPr>
        <w:t xml:space="preserve">, </w:t>
      </w:r>
      <w:proofErr w:type="gramStart"/>
      <w:r>
        <w:rPr>
          <w:szCs w:val="24"/>
        </w:rPr>
        <w:t>t</w:t>
      </w:r>
      <w:proofErr w:type="gramEnd"/>
      <w:r>
        <w:rPr>
          <w:szCs w:val="24"/>
        </w:rPr>
        <w:t xml:space="preserve">. I, s. </w:t>
      </w:r>
      <w:proofErr w:type="spellStart"/>
      <w:r>
        <w:rPr>
          <w:szCs w:val="24"/>
        </w:rPr>
        <w:t>362–363</w:t>
      </w:r>
      <w:proofErr w:type="spellEnd"/>
      <w:r>
        <w:rPr>
          <w:szCs w:val="24"/>
        </w:rPr>
        <w:t>.</w:t>
      </w:r>
    </w:p>
  </w:footnote>
  <w:footnote w:id="15">
    <w:p w:rsidR="004449CA" w:rsidRPr="00892E05" w:rsidRDefault="004449CA" w:rsidP="004449CA">
      <w:pPr>
        <w:pStyle w:val="Tekstprzypisudolnego"/>
      </w:pPr>
      <w:r w:rsidRPr="00892E05">
        <w:rPr>
          <w:rStyle w:val="Odwoanieprzypisudolnego"/>
          <w:szCs w:val="24"/>
        </w:rPr>
        <w:footnoteRef/>
      </w:r>
      <w:r w:rsidRPr="00892E05">
        <w:rPr>
          <w:rStyle w:val="Odwoanieprzypisudolnego"/>
          <w:szCs w:val="24"/>
        </w:rPr>
        <w:t xml:space="preserve"> </w:t>
      </w:r>
      <w:r w:rsidRPr="00892E05">
        <w:rPr>
          <w:szCs w:val="24"/>
        </w:rPr>
        <w:t xml:space="preserve">M. </w:t>
      </w:r>
      <w:proofErr w:type="spellStart"/>
      <w:r w:rsidRPr="00892E05">
        <w:rPr>
          <w:szCs w:val="24"/>
        </w:rPr>
        <w:t>Budyn-Kulik</w:t>
      </w:r>
      <w:proofErr w:type="spellEnd"/>
      <w:r w:rsidRPr="00892E05">
        <w:rPr>
          <w:szCs w:val="24"/>
        </w:rPr>
        <w:t xml:space="preserve"> (w:) </w:t>
      </w:r>
      <w:r w:rsidRPr="00892E05">
        <w:rPr>
          <w:i/>
          <w:szCs w:val="24"/>
        </w:rPr>
        <w:t>Kodeks</w:t>
      </w:r>
      <w:r w:rsidR="001D20E6" w:rsidRPr="00892E05">
        <w:rPr>
          <w:i/>
          <w:szCs w:val="24"/>
        </w:rPr>
        <w:t xml:space="preserve"> karny. </w:t>
      </w:r>
      <w:r w:rsidR="00892E05" w:rsidRPr="00892E05">
        <w:rPr>
          <w:i/>
          <w:szCs w:val="24"/>
        </w:rPr>
        <w:t>Praktyczny komentarz</w:t>
      </w:r>
      <w:r w:rsidRPr="00892E05">
        <w:rPr>
          <w:szCs w:val="24"/>
        </w:rPr>
        <w:t xml:space="preserve">, red. M. Mozgawa, </w:t>
      </w:r>
      <w:r w:rsidR="00892E05" w:rsidRPr="00892E05">
        <w:rPr>
          <w:szCs w:val="24"/>
        </w:rPr>
        <w:t xml:space="preserve">Warszawa 2010, </w:t>
      </w:r>
      <w:r w:rsidRPr="00892E05">
        <w:rPr>
          <w:szCs w:val="24"/>
        </w:rPr>
        <w:t xml:space="preserve"> 77.</w:t>
      </w:r>
    </w:p>
  </w:footnote>
  <w:footnote w:id="16">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A. Wąsek (w:) O. </w:t>
      </w:r>
      <w:proofErr w:type="spellStart"/>
      <w:r>
        <w:rPr>
          <w:szCs w:val="24"/>
        </w:rPr>
        <w:t>Górniok</w:t>
      </w:r>
      <w:proofErr w:type="spellEnd"/>
      <w:r>
        <w:rPr>
          <w:szCs w:val="24"/>
        </w:rPr>
        <w:t xml:space="preserve"> [et al.], </w:t>
      </w:r>
      <w:r>
        <w:rPr>
          <w:i/>
          <w:szCs w:val="24"/>
        </w:rPr>
        <w:t>Kodeks...</w:t>
      </w:r>
      <w:r>
        <w:rPr>
          <w:szCs w:val="24"/>
        </w:rPr>
        <w:t xml:space="preserve">, </w:t>
      </w:r>
      <w:proofErr w:type="gramStart"/>
      <w:r>
        <w:rPr>
          <w:szCs w:val="24"/>
        </w:rPr>
        <w:t>t</w:t>
      </w:r>
      <w:proofErr w:type="gramEnd"/>
      <w:r>
        <w:rPr>
          <w:szCs w:val="24"/>
        </w:rPr>
        <w:t xml:space="preserve">. I, s. 362; A. Wąsek, </w:t>
      </w:r>
      <w:r>
        <w:rPr>
          <w:i/>
          <w:szCs w:val="24"/>
        </w:rPr>
        <w:t>Stany konieczności w części ogólnej projektu k.k. z 1991</w:t>
      </w:r>
      <w:r>
        <w:rPr>
          <w:szCs w:val="24"/>
        </w:rPr>
        <w:t xml:space="preserve"> (w:)</w:t>
      </w:r>
      <w:r>
        <w:rPr>
          <w:i/>
          <w:szCs w:val="24"/>
        </w:rPr>
        <w:t xml:space="preserve"> Problemy prawa karnego. Księga pamiątkowa ku czci Profesora Mariana Cieślaka</w:t>
      </w:r>
      <w:r>
        <w:rPr>
          <w:szCs w:val="24"/>
        </w:rPr>
        <w:t>, Kraków 1993, s. 105; J. Lachowski,</w:t>
      </w:r>
      <w:r>
        <w:rPr>
          <w:i/>
          <w:szCs w:val="24"/>
        </w:rPr>
        <w:t xml:space="preserve"> Stan...</w:t>
      </w:r>
      <w:r>
        <w:rPr>
          <w:szCs w:val="24"/>
        </w:rPr>
        <w:t xml:space="preserve">, </w:t>
      </w:r>
      <w:proofErr w:type="gramStart"/>
      <w:r>
        <w:rPr>
          <w:szCs w:val="24"/>
        </w:rPr>
        <w:t>s</w:t>
      </w:r>
      <w:proofErr w:type="gramEnd"/>
      <w:r>
        <w:rPr>
          <w:szCs w:val="24"/>
        </w:rPr>
        <w:t>. 132.</w:t>
      </w:r>
    </w:p>
  </w:footnote>
  <w:footnote w:id="17">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A. Zoll (w:) </w:t>
      </w:r>
      <w:r>
        <w:rPr>
          <w:i/>
          <w:szCs w:val="24"/>
        </w:rPr>
        <w:t>Kodeks...</w:t>
      </w:r>
      <w:r>
        <w:rPr>
          <w:szCs w:val="24"/>
        </w:rPr>
        <w:t xml:space="preserve">, </w:t>
      </w:r>
      <w:proofErr w:type="gramStart"/>
      <w:r>
        <w:rPr>
          <w:szCs w:val="24"/>
        </w:rPr>
        <w:t>red</w:t>
      </w:r>
      <w:proofErr w:type="gramEnd"/>
      <w:r>
        <w:rPr>
          <w:szCs w:val="24"/>
        </w:rPr>
        <w:t>. A. Zoll, t. I, s. 505.</w:t>
      </w:r>
    </w:p>
  </w:footnote>
  <w:footnote w:id="18">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J. </w:t>
      </w:r>
      <w:proofErr w:type="spellStart"/>
      <w:r>
        <w:rPr>
          <w:szCs w:val="24"/>
        </w:rPr>
        <w:t>Giezek</w:t>
      </w:r>
      <w:proofErr w:type="spellEnd"/>
      <w:r>
        <w:rPr>
          <w:szCs w:val="24"/>
        </w:rPr>
        <w:t xml:space="preserve"> (w:) M. Bojarski, J. </w:t>
      </w:r>
      <w:proofErr w:type="spellStart"/>
      <w:r>
        <w:rPr>
          <w:szCs w:val="24"/>
        </w:rPr>
        <w:t>Giezek</w:t>
      </w:r>
      <w:proofErr w:type="spellEnd"/>
      <w:r>
        <w:rPr>
          <w:szCs w:val="24"/>
        </w:rPr>
        <w:t xml:space="preserve">, Z. Sienkiewicz, </w:t>
      </w:r>
      <w:r>
        <w:rPr>
          <w:i/>
          <w:szCs w:val="24"/>
        </w:rPr>
        <w:t>Prawo</w:t>
      </w:r>
      <w:r w:rsidR="001D20E6">
        <w:rPr>
          <w:i/>
          <w:szCs w:val="24"/>
        </w:rPr>
        <w:t xml:space="preserve"> karne materialne; część ogólna i szczególna, </w:t>
      </w:r>
      <w:proofErr w:type="gramStart"/>
      <w:r w:rsidR="001D20E6" w:rsidRPr="001D20E6">
        <w:rPr>
          <w:szCs w:val="24"/>
        </w:rPr>
        <w:t>Warszawa 2004,</w:t>
      </w:r>
      <w:r w:rsidR="001D20E6">
        <w:rPr>
          <w:i/>
          <w:szCs w:val="24"/>
        </w:rPr>
        <w:t xml:space="preserve"> </w:t>
      </w:r>
      <w:r>
        <w:rPr>
          <w:szCs w:val="24"/>
        </w:rPr>
        <w:t xml:space="preserve"> s</w:t>
      </w:r>
      <w:proofErr w:type="gramEnd"/>
      <w:r>
        <w:rPr>
          <w:szCs w:val="24"/>
        </w:rPr>
        <w:t>. 145.</w:t>
      </w:r>
    </w:p>
  </w:footnote>
  <w:footnote w:id="19">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J. Majewski, </w:t>
      </w:r>
      <w:r>
        <w:rPr>
          <w:i/>
          <w:szCs w:val="24"/>
        </w:rPr>
        <w:t>Tak zwana kolizja obowiązków w prawie karnym</w:t>
      </w:r>
      <w:r>
        <w:rPr>
          <w:szCs w:val="24"/>
        </w:rPr>
        <w:t>, Warszawa 2002, s. 89 i n.</w:t>
      </w:r>
    </w:p>
  </w:footnote>
  <w:footnote w:id="20">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Natomiast stosownie do </w:t>
      </w:r>
      <w:r w:rsidRPr="00404EFD">
        <w:rPr>
          <w:szCs w:val="24"/>
          <w:u w:color="FF0000"/>
        </w:rPr>
        <w:t>art. 438</w:t>
      </w:r>
      <w:r>
        <w:rPr>
          <w:szCs w:val="24"/>
        </w:rPr>
        <w:t xml:space="preserve"> k.c.: „Kto w celu odwrócenia grożącej drugiemu szkody albo w celu odwrócenia wspólnego niebezpieczeństwa przymusowo lub nawet dobrowolnie poniósł szkodę majątkową, może żądać naprawienia poniesionych strat w odpowiednim stosunku od osób, które z tego odniosły </w:t>
      </w:r>
      <w:proofErr w:type="gramStart"/>
      <w:r>
        <w:rPr>
          <w:szCs w:val="24"/>
        </w:rPr>
        <w:t>korzyść”.</w:t>
      </w:r>
      <w:proofErr w:type="gramEnd"/>
    </w:p>
  </w:footnote>
  <w:footnote w:id="21">
    <w:p w:rsidR="004449CA" w:rsidRDefault="004449CA" w:rsidP="004449CA">
      <w:pPr>
        <w:pStyle w:val="Tekstprzypisudolnego"/>
      </w:pPr>
      <w:r>
        <w:rPr>
          <w:rStyle w:val="Odwoanieprzypisudolnego"/>
          <w:szCs w:val="24"/>
        </w:rPr>
        <w:footnoteRef/>
      </w:r>
      <w:r>
        <w:rPr>
          <w:rStyle w:val="Odwoanieprzypisudolnego"/>
          <w:szCs w:val="24"/>
        </w:rPr>
        <w:t xml:space="preserve"> </w:t>
      </w:r>
      <w:r>
        <w:rPr>
          <w:szCs w:val="24"/>
        </w:rPr>
        <w:t xml:space="preserve">A. Wąsek (w:) O. </w:t>
      </w:r>
      <w:proofErr w:type="spellStart"/>
      <w:r>
        <w:rPr>
          <w:szCs w:val="24"/>
        </w:rPr>
        <w:t>Górniok</w:t>
      </w:r>
      <w:proofErr w:type="spellEnd"/>
      <w:r>
        <w:rPr>
          <w:szCs w:val="24"/>
        </w:rPr>
        <w:t xml:space="preserve"> [et al.], </w:t>
      </w:r>
      <w:proofErr w:type="gramStart"/>
      <w:r>
        <w:rPr>
          <w:i/>
          <w:szCs w:val="24"/>
        </w:rPr>
        <w:t>Kodeks...</w:t>
      </w:r>
      <w:r>
        <w:rPr>
          <w:szCs w:val="24"/>
        </w:rPr>
        <w:t>, t</w:t>
      </w:r>
      <w:proofErr w:type="gramEnd"/>
      <w:r>
        <w:rPr>
          <w:szCs w:val="24"/>
        </w:rPr>
        <w:t>. I, s. 369.</w:t>
      </w:r>
    </w:p>
  </w:footnote>
  <w:footnote w:id="22">
    <w:p w:rsidR="004449CA" w:rsidRDefault="004449CA" w:rsidP="004449CA">
      <w:pPr>
        <w:pStyle w:val="Tekstprzypisudolnego"/>
      </w:pPr>
      <w:r>
        <w:rPr>
          <w:rStyle w:val="Odwoanieprzypisudolnego"/>
          <w:szCs w:val="24"/>
        </w:rPr>
        <w:footnoteRef/>
      </w:r>
      <w:r>
        <w:rPr>
          <w:rStyle w:val="Odwoanieprzypisudolnego"/>
          <w:szCs w:val="24"/>
        </w:rPr>
        <w:t xml:space="preserve"> </w:t>
      </w:r>
      <w:proofErr w:type="spellStart"/>
      <w:r>
        <w:rPr>
          <w:i/>
          <w:szCs w:val="24"/>
        </w:rPr>
        <w:t>Ibidem</w:t>
      </w:r>
      <w:proofErr w:type="spellEnd"/>
      <w:r>
        <w:rPr>
          <w:szCs w:val="24"/>
        </w:rPr>
        <w:t>, s. 370.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449CA"/>
    <w:rsid w:val="0000562C"/>
    <w:rsid w:val="000B1297"/>
    <w:rsid w:val="000C06BD"/>
    <w:rsid w:val="000F0027"/>
    <w:rsid w:val="001D20E6"/>
    <w:rsid w:val="001D7CD7"/>
    <w:rsid w:val="00210D9F"/>
    <w:rsid w:val="00275B3B"/>
    <w:rsid w:val="002D0C90"/>
    <w:rsid w:val="002F76EE"/>
    <w:rsid w:val="003A3799"/>
    <w:rsid w:val="00404EFD"/>
    <w:rsid w:val="00421A91"/>
    <w:rsid w:val="004449CA"/>
    <w:rsid w:val="004C6ADE"/>
    <w:rsid w:val="006C1C3A"/>
    <w:rsid w:val="007D22C1"/>
    <w:rsid w:val="007E0101"/>
    <w:rsid w:val="008135D8"/>
    <w:rsid w:val="00824A60"/>
    <w:rsid w:val="008532DB"/>
    <w:rsid w:val="00892E05"/>
    <w:rsid w:val="00991090"/>
    <w:rsid w:val="00991F5D"/>
    <w:rsid w:val="009C76AC"/>
    <w:rsid w:val="00B01582"/>
    <w:rsid w:val="00B14361"/>
    <w:rsid w:val="00BB4B3B"/>
    <w:rsid w:val="00C05DEB"/>
    <w:rsid w:val="00CA1ACA"/>
    <w:rsid w:val="00D560CF"/>
    <w:rsid w:val="00D579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49CA"/>
    <w:pPr>
      <w:widowControl w:val="0"/>
      <w:spacing w:after="0" w:line="240" w:lineRule="auto"/>
      <w:jc w:val="both"/>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4449CA"/>
    <w:rPr>
      <w:rFonts w:ascii="Times New Roman" w:hAnsi="Times New Roman" w:cs="Times New Roman" w:hint="default"/>
      <w:color w:val="FF0000"/>
      <w:u w:val="single" w:color="FF0000"/>
    </w:rPr>
  </w:style>
  <w:style w:type="paragraph" w:styleId="Tekstprzypisudolnego">
    <w:name w:val="footnote text"/>
    <w:basedOn w:val="Normalny"/>
    <w:link w:val="TekstprzypisudolnegoZnak"/>
    <w:semiHidden/>
    <w:unhideWhenUsed/>
    <w:rsid w:val="004449CA"/>
    <w:rPr>
      <w:sz w:val="20"/>
    </w:rPr>
  </w:style>
  <w:style w:type="character" w:customStyle="1" w:styleId="TekstprzypisudolnegoZnak">
    <w:name w:val="Tekst przypisu dolnego Znak"/>
    <w:basedOn w:val="Domylnaczcionkaakapitu"/>
    <w:link w:val="Tekstprzypisudolnego"/>
    <w:semiHidden/>
    <w:rsid w:val="004449CA"/>
    <w:rPr>
      <w:rFonts w:ascii="Times New Roman" w:eastAsia="Times New Roman" w:hAnsi="Times New Roman" w:cs="Times New Roman"/>
      <w:sz w:val="20"/>
      <w:szCs w:val="20"/>
      <w:lang w:eastAsia="pl-PL"/>
    </w:rPr>
  </w:style>
  <w:style w:type="paragraph" w:customStyle="1" w:styleId="elDodliteratura">
    <w:name w:val="elDod_literatura"/>
    <w:basedOn w:val="Normalny"/>
    <w:rsid w:val="004449CA"/>
    <w:pPr>
      <w:shd w:val="clear" w:color="auto" w:fill="E6E6E6"/>
      <w:spacing w:before="240" w:after="120"/>
      <w:jc w:val="center"/>
    </w:pPr>
    <w:rPr>
      <w:b/>
      <w:sz w:val="28"/>
      <w:szCs w:val="24"/>
    </w:rPr>
  </w:style>
  <w:style w:type="paragraph" w:customStyle="1" w:styleId="Lista1">
    <w:name w:val="Lista1"/>
    <w:basedOn w:val="Normalny"/>
    <w:rsid w:val="004449CA"/>
    <w:pPr>
      <w:ind w:left="709" w:hanging="425"/>
    </w:pPr>
  </w:style>
  <w:style w:type="paragraph" w:customStyle="1" w:styleId="PrzykadTre">
    <w:name w:val="Przykład_Treść"/>
    <w:basedOn w:val="Normalny"/>
    <w:rsid w:val="004449CA"/>
    <w:pPr>
      <w:widowControl/>
      <w:autoSpaceDE w:val="0"/>
      <w:autoSpaceDN w:val="0"/>
      <w:spacing w:after="60"/>
    </w:pPr>
    <w:rPr>
      <w:rFonts w:cs="Symbol"/>
      <w:sz w:val="20"/>
    </w:rPr>
  </w:style>
  <w:style w:type="character" w:styleId="Odwoanieprzypisudolnego">
    <w:name w:val="footnote reference"/>
    <w:basedOn w:val="Domylnaczcionkaakapitu"/>
    <w:semiHidden/>
    <w:unhideWhenUsed/>
    <w:rsid w:val="004449CA"/>
    <w:rPr>
      <w:rFonts w:ascii="Times New Roman" w:hAnsi="Times New Roman" w:cs="Times New Roman" w:hint="default"/>
      <w:position w:val="0"/>
      <w:vertAlign w:val="superscript"/>
    </w:rPr>
  </w:style>
</w:styles>
</file>

<file path=word/webSettings.xml><?xml version="1.0" encoding="utf-8"?>
<w:webSettings xmlns:r="http://schemas.openxmlformats.org/officeDocument/2006/relationships" xmlns:w="http://schemas.openxmlformats.org/wordprocessingml/2006/main">
  <w:divs>
    <w:div w:id="21468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1730</Words>
  <Characters>10385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2013-11-02T17:23:00Z</cp:lastPrinted>
  <dcterms:created xsi:type="dcterms:W3CDTF">2013-10-31T19:12:00Z</dcterms:created>
  <dcterms:modified xsi:type="dcterms:W3CDTF">2013-12-10T12:47:00Z</dcterms:modified>
</cp:coreProperties>
</file>