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D3" w:rsidRPr="00E70034" w:rsidRDefault="00CE27D3" w:rsidP="00CE27D3">
      <w:pPr>
        <w:pStyle w:val="a3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E70034">
        <w:rPr>
          <w:szCs w:val="28"/>
          <w:lang w:val="uk-UA"/>
        </w:rPr>
        <w:t>Кузнецова</w:t>
      </w:r>
      <w:proofErr w:type="spellEnd"/>
      <w:r w:rsidRPr="00E70034">
        <w:rPr>
          <w:szCs w:val="28"/>
          <w:lang w:val="uk-UA"/>
        </w:rPr>
        <w:t> І. О. Засоби використання ілюзії як елементу гри в дизайні інтер’єра громадських приміщень / І. О. </w:t>
      </w:r>
      <w:proofErr w:type="spellStart"/>
      <w:r w:rsidRPr="00E70034">
        <w:rPr>
          <w:szCs w:val="28"/>
          <w:lang w:val="uk-UA"/>
        </w:rPr>
        <w:t>Кузнецова</w:t>
      </w:r>
      <w:proofErr w:type="spellEnd"/>
      <w:r w:rsidRPr="00E70034">
        <w:rPr>
          <w:szCs w:val="28"/>
          <w:lang w:val="uk-UA"/>
        </w:rPr>
        <w:t>, К. М. </w:t>
      </w:r>
      <w:proofErr w:type="spellStart"/>
      <w:r w:rsidRPr="00E70034">
        <w:rPr>
          <w:szCs w:val="28"/>
          <w:lang w:val="uk-UA"/>
        </w:rPr>
        <w:t>Арбузова</w:t>
      </w:r>
      <w:proofErr w:type="spellEnd"/>
      <w:r w:rsidRPr="00E70034">
        <w:rPr>
          <w:szCs w:val="28"/>
          <w:lang w:val="uk-UA"/>
        </w:rPr>
        <w:t>, І. В.</w:t>
      </w:r>
      <w:r w:rsidRPr="00E70034">
        <w:rPr>
          <w:szCs w:val="28"/>
        </w:rPr>
        <w:t> </w:t>
      </w:r>
      <w:proofErr w:type="spellStart"/>
      <w:r w:rsidRPr="00E70034">
        <w:rPr>
          <w:szCs w:val="28"/>
          <w:lang w:val="uk-UA"/>
        </w:rPr>
        <w:t>Джоболда</w:t>
      </w:r>
      <w:proofErr w:type="spellEnd"/>
      <w:r w:rsidRPr="00E70034">
        <w:rPr>
          <w:szCs w:val="28"/>
          <w:lang w:val="uk-UA"/>
        </w:rPr>
        <w:t xml:space="preserve"> // </w:t>
      </w:r>
      <w:r>
        <w:rPr>
          <w:szCs w:val="28"/>
          <w:lang w:val="uk-UA"/>
        </w:rPr>
        <w:t>Візуальність у контексті культурних практик </w:t>
      </w:r>
      <w:r w:rsidRPr="00E70034">
        <w:rPr>
          <w:szCs w:val="28"/>
          <w:lang w:val="uk-UA"/>
        </w:rPr>
        <w:t>: зб. </w:t>
      </w:r>
      <w:proofErr w:type="spellStart"/>
      <w:r w:rsidRPr="00E70034">
        <w:rPr>
          <w:szCs w:val="28"/>
          <w:lang w:val="uk-UA"/>
        </w:rPr>
        <w:t>матер</w:t>
      </w:r>
      <w:proofErr w:type="spellEnd"/>
      <w:r w:rsidRPr="00E70034">
        <w:rPr>
          <w:szCs w:val="28"/>
          <w:lang w:val="uk-UA"/>
        </w:rPr>
        <w:t>. </w:t>
      </w:r>
      <w:proofErr w:type="spellStart"/>
      <w:r w:rsidRPr="00E70034">
        <w:rPr>
          <w:szCs w:val="28"/>
          <w:lang w:val="uk-UA"/>
        </w:rPr>
        <w:t>конф</w:t>
      </w:r>
      <w:proofErr w:type="spellEnd"/>
      <w:r w:rsidRPr="00E70034">
        <w:rPr>
          <w:szCs w:val="28"/>
          <w:lang w:val="uk-UA"/>
        </w:rPr>
        <w:t>. – Черкаси : Брама України, 2011. – С. 126-127.</w:t>
      </w:r>
    </w:p>
    <w:p w:rsidR="000C03A2" w:rsidRPr="00CE27D3" w:rsidRDefault="000C03A2">
      <w:pPr>
        <w:rPr>
          <w:lang w:val="uk-UA"/>
        </w:rPr>
      </w:pPr>
    </w:p>
    <w:sectPr w:rsidR="000C03A2" w:rsidRPr="00CE27D3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7D3"/>
    <w:rsid w:val="000C03A2"/>
    <w:rsid w:val="00C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CE27D3"/>
    <w:pPr>
      <w:widowControl w:val="0"/>
      <w:suppressAutoHyphens/>
      <w:autoSpaceDN w:val="0"/>
      <w:spacing w:before="240" w:after="36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2015-06-22T04:36:00Z</dcterms:created>
  <dcterms:modified xsi:type="dcterms:W3CDTF">2015-06-22T04:39:00Z</dcterms:modified>
</cp:coreProperties>
</file>