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91" w:rsidRPr="001E7280" w:rsidRDefault="00421691" w:rsidP="00421691">
      <w:pPr>
        <w:pStyle w:val="a3"/>
        <w:tabs>
          <w:tab w:val="left" w:pos="0"/>
        </w:tabs>
        <w:spacing w:before="0" w:after="0" w:line="360" w:lineRule="auto"/>
        <w:contextualSpacing/>
        <w:rPr>
          <w:szCs w:val="28"/>
          <w:lang w:val="uk-UA"/>
        </w:rPr>
      </w:pPr>
      <w:proofErr w:type="spellStart"/>
      <w:r w:rsidRPr="001E7280">
        <w:rPr>
          <w:szCs w:val="28"/>
          <w:lang w:val="uk-UA"/>
        </w:rPr>
        <w:t>Кузнецова</w:t>
      </w:r>
      <w:proofErr w:type="spellEnd"/>
      <w:r w:rsidRPr="001E7280">
        <w:rPr>
          <w:szCs w:val="28"/>
          <w:lang w:val="uk-UA"/>
        </w:rPr>
        <w:t> І. О. Засоби створення сучасного національного українського інтер’єру / І. О. </w:t>
      </w:r>
      <w:proofErr w:type="spellStart"/>
      <w:r w:rsidRPr="001E7280">
        <w:rPr>
          <w:szCs w:val="28"/>
          <w:lang w:val="uk-UA"/>
        </w:rPr>
        <w:t>Кузнецова</w:t>
      </w:r>
      <w:proofErr w:type="spellEnd"/>
      <w:r w:rsidRPr="001E7280">
        <w:rPr>
          <w:szCs w:val="28"/>
          <w:lang w:val="uk-UA"/>
        </w:rPr>
        <w:t>, О. В. Лобода // Вісник ХДАДМ : Зб. наук. праць. – Харків : ХДАДМ, 2012. – Вип. 5. – С. 62-65.</w:t>
      </w:r>
    </w:p>
    <w:p w:rsidR="000C03A2" w:rsidRDefault="000C03A2"/>
    <w:sectPr w:rsidR="000C03A2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1691"/>
    <w:rsid w:val="000C03A2"/>
    <w:rsid w:val="0042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421691"/>
    <w:pPr>
      <w:widowControl w:val="0"/>
      <w:suppressAutoHyphens/>
      <w:autoSpaceDN w:val="0"/>
      <w:spacing w:before="240" w:after="36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2015-06-22T04:40:00Z</dcterms:created>
  <dcterms:modified xsi:type="dcterms:W3CDTF">2015-06-22T04:41:00Z</dcterms:modified>
</cp:coreProperties>
</file>