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2D" w:rsidRDefault="00E97F2D" w:rsidP="00E97F2D">
      <w:pPr>
        <w:spacing w:line="360" w:lineRule="auto"/>
        <w:rPr>
          <w:sz w:val="28"/>
          <w:szCs w:val="28"/>
          <w:lang w:val="uk-UA"/>
        </w:rPr>
      </w:pPr>
      <w:r>
        <w:rPr>
          <w:sz w:val="28"/>
          <w:szCs w:val="28"/>
          <w:lang w:val="uk-UA"/>
        </w:rPr>
        <w:t>УДК 349.6 (043.2)</w:t>
      </w:r>
    </w:p>
    <w:p w:rsidR="00E97F2D" w:rsidRDefault="00E97F2D" w:rsidP="00E97F2D">
      <w:pPr>
        <w:spacing w:line="360" w:lineRule="auto"/>
        <w:jc w:val="right"/>
        <w:rPr>
          <w:sz w:val="28"/>
          <w:szCs w:val="28"/>
          <w:lang w:val="uk-UA"/>
        </w:rPr>
      </w:pPr>
      <w:proofErr w:type="spellStart"/>
      <w:r w:rsidRPr="00C40538">
        <w:rPr>
          <w:b/>
          <w:sz w:val="28"/>
          <w:szCs w:val="28"/>
          <w:lang w:val="uk-UA"/>
        </w:rPr>
        <w:t>Оверковська</w:t>
      </w:r>
      <w:proofErr w:type="spellEnd"/>
      <w:r w:rsidRPr="00C40538">
        <w:rPr>
          <w:b/>
          <w:sz w:val="28"/>
          <w:szCs w:val="28"/>
          <w:lang w:val="uk-UA"/>
        </w:rPr>
        <w:t xml:space="preserve"> Т.К.,</w:t>
      </w:r>
      <w:r>
        <w:rPr>
          <w:sz w:val="28"/>
          <w:szCs w:val="28"/>
          <w:lang w:val="uk-UA"/>
        </w:rPr>
        <w:t xml:space="preserve"> </w:t>
      </w:r>
      <w:proofErr w:type="spellStart"/>
      <w:r>
        <w:rPr>
          <w:sz w:val="28"/>
          <w:szCs w:val="28"/>
          <w:lang w:val="uk-UA"/>
        </w:rPr>
        <w:t>к.ю.н</w:t>
      </w:r>
      <w:proofErr w:type="spellEnd"/>
      <w:r>
        <w:rPr>
          <w:sz w:val="28"/>
          <w:szCs w:val="28"/>
          <w:lang w:val="uk-UA"/>
        </w:rPr>
        <w:t>., доцент,</w:t>
      </w:r>
    </w:p>
    <w:p w:rsidR="00E97F2D" w:rsidRDefault="00E97F2D" w:rsidP="00E97F2D">
      <w:pPr>
        <w:spacing w:line="360" w:lineRule="auto"/>
        <w:jc w:val="right"/>
        <w:rPr>
          <w:sz w:val="28"/>
          <w:szCs w:val="28"/>
          <w:lang w:val="uk-UA"/>
        </w:rPr>
      </w:pPr>
      <w:r>
        <w:rPr>
          <w:sz w:val="28"/>
          <w:szCs w:val="28"/>
          <w:lang w:val="uk-UA"/>
        </w:rPr>
        <w:t>Вінницький національний аграрний університет,</w:t>
      </w:r>
    </w:p>
    <w:p w:rsidR="00E97F2D" w:rsidRDefault="00E97F2D" w:rsidP="00E97F2D">
      <w:pPr>
        <w:spacing w:line="360" w:lineRule="auto"/>
        <w:jc w:val="right"/>
        <w:rPr>
          <w:sz w:val="28"/>
          <w:szCs w:val="28"/>
          <w:lang w:val="uk-UA"/>
        </w:rPr>
      </w:pPr>
      <w:r>
        <w:rPr>
          <w:sz w:val="28"/>
          <w:szCs w:val="28"/>
          <w:lang w:val="uk-UA"/>
        </w:rPr>
        <w:t>м. Вінниця, Україна</w:t>
      </w:r>
    </w:p>
    <w:p w:rsidR="00E97F2D" w:rsidRDefault="00E97F2D" w:rsidP="00E97F2D">
      <w:pPr>
        <w:spacing w:line="360" w:lineRule="auto"/>
        <w:jc w:val="center"/>
        <w:rPr>
          <w:b/>
          <w:sz w:val="28"/>
          <w:szCs w:val="28"/>
          <w:lang w:val="uk-UA"/>
        </w:rPr>
      </w:pPr>
    </w:p>
    <w:p w:rsidR="00E97F2D" w:rsidRDefault="00E97F2D" w:rsidP="00E97F2D">
      <w:pPr>
        <w:tabs>
          <w:tab w:val="right" w:pos="360"/>
        </w:tabs>
        <w:spacing w:line="360" w:lineRule="auto"/>
        <w:jc w:val="center"/>
        <w:rPr>
          <w:b/>
          <w:sz w:val="28"/>
          <w:szCs w:val="28"/>
          <w:lang w:val="uk-UA"/>
        </w:rPr>
      </w:pPr>
      <w:r w:rsidRPr="00C40538">
        <w:rPr>
          <w:b/>
          <w:sz w:val="28"/>
          <w:szCs w:val="28"/>
          <w:lang w:val="uk-UA"/>
        </w:rPr>
        <w:t>ПРАВОВІ АСПЕКТИ ЕКОЛОГІЧНОЇ БЕЗПЕКИ У ПРОЦЕСІ РЕФОРМУВАННЯ АВІАЦІЙНОЇ ГАЛУЗІ УКРАЇНИ</w:t>
      </w:r>
    </w:p>
    <w:p w:rsidR="00E97F2D" w:rsidRDefault="00E97F2D" w:rsidP="00E97F2D">
      <w:pPr>
        <w:tabs>
          <w:tab w:val="right" w:pos="360"/>
          <w:tab w:val="right" w:pos="1980"/>
        </w:tabs>
        <w:spacing w:line="360" w:lineRule="auto"/>
        <w:jc w:val="both"/>
        <w:rPr>
          <w:sz w:val="28"/>
          <w:szCs w:val="28"/>
          <w:lang w:val="uk-UA"/>
        </w:rPr>
      </w:pPr>
      <w:r w:rsidRPr="007C7119">
        <w:rPr>
          <w:sz w:val="28"/>
          <w:szCs w:val="28"/>
          <w:lang w:val="uk-UA"/>
        </w:rPr>
        <w:tab/>
      </w:r>
      <w:r w:rsidRPr="00DA339C">
        <w:rPr>
          <w:sz w:val="28"/>
          <w:szCs w:val="28"/>
          <w:lang w:val="uk-UA"/>
        </w:rPr>
        <w:tab/>
      </w:r>
      <w:r w:rsidRPr="007C7119">
        <w:rPr>
          <w:sz w:val="28"/>
          <w:szCs w:val="28"/>
          <w:lang w:val="uk-UA"/>
        </w:rPr>
        <w:t>Структурно</w:t>
      </w:r>
      <w:r>
        <w:rPr>
          <w:sz w:val="28"/>
          <w:szCs w:val="28"/>
          <w:lang w:val="uk-UA"/>
        </w:rPr>
        <w:t>-динамічна характеристика системного реформування авіаційної галузі України зумовлює якісно новий підхід до проблем нормативно-правового забезпечення екологічної безпеки у сфері авіаційної діяльності, що являє собою діяльність фізичних та юридичних осіб у галузі авіації та/або організації повітряного руху України.</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Необхідність  забезпечення екологічної безпеки у процесі здійснення авіаційної діяльності та реформування авіаційної галузі обумовлюється тим фактом, що авіаційна діяльність зумовлює безпосередній негативний вплив на навколишнє природне середовище. Зокрема: викиди забруднюючих речовин в атмосферне повітря, електромагнітне випромінювання об’єктів авіаційної діяльності, підвищений рівень шуму тощо. Крім цього, враховуючи положення ст. 1187 Цивільного кодексу України, авіаційний транспорт слід вважати джерелом підвищеної небезпеки як такий, що є реальною загрозою виникнення надзвичайної ситуації техногенного характеру, має шкідливі властивості для людини та довкілля, а також унеможливлює повний контроль зі сторони людини.</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 xml:space="preserve">Необхідність  та важливість визначення правових аспектів забезпечення екологічної безпеки у сфері авіаційної діяльності обумовлюється також реалізацією права громадян на безпечне для життя і здоров’я довкілля, що гарантовано ст. 50 Конституції України. На думку науковців, безпека особистості – людини визнана на конституційному рівні як важливий елемент найвищої соціальної цінності, що зобов’язує державу забезпечувати її у процесі життєдіяльності людини </w:t>
      </w:r>
      <w:r w:rsidRPr="007E6744">
        <w:rPr>
          <w:sz w:val="28"/>
          <w:szCs w:val="28"/>
          <w:lang w:val="uk-UA"/>
        </w:rPr>
        <w:t>[</w:t>
      </w:r>
      <w:r>
        <w:rPr>
          <w:sz w:val="28"/>
          <w:szCs w:val="28"/>
          <w:lang w:val="uk-UA"/>
        </w:rPr>
        <w:t>1, с. 7</w:t>
      </w:r>
      <w:r w:rsidRPr="007E6744">
        <w:rPr>
          <w:sz w:val="28"/>
          <w:szCs w:val="28"/>
          <w:lang w:val="uk-UA"/>
        </w:rPr>
        <w:t>]</w:t>
      </w:r>
      <w:r>
        <w:rPr>
          <w:sz w:val="28"/>
          <w:szCs w:val="28"/>
          <w:lang w:val="uk-UA"/>
        </w:rPr>
        <w:t>.</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lastRenderedPageBreak/>
        <w:tab/>
      </w:r>
      <w:r>
        <w:rPr>
          <w:sz w:val="28"/>
          <w:szCs w:val="28"/>
          <w:lang w:val="uk-UA"/>
        </w:rPr>
        <w:tab/>
        <w:t>Закон України «Про охорону навколишнього природного середовища» від 26 червня 1991 року екологічну безпеку визначає як такий стан навколишнього природного середовища, при якому забезпечується попередження погіршення екологічної обстановки та виникнення небезпеки для здоров’я людей (ст. 50). При цьому екологічна безпека гарантується громадянам здійсненням широкого комплексу взаємопов’язаних політичних, економічних, технічних, організаційних, державно-правових та інших заходів. Отже, постійність проявів екологічного ризику для людини та навколишнього природного середовища внаслідок небезпечних впливів авіаційної діяльності зумовлюють необхідність запровадження дієвих заходів та підходів, які спрямовані на попередження настання таких впливів та ліквідацію їх негативних наслідків.</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Аналізуючи положення ст. 56 Закону України «Про охорону навколишнього природного середовища» та ст. 84 Повітряного кодексу України, основними заходами щодо забезпечення екологічної безпеки у сфері авіаційної галузі, на нашу думку, є наступні:</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1) заходи щодо зниження токсичності та знешкодження шкідливих речовин, що містяться у відпрацьованих газах та скидах авіаційного транспорту;</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2) заходи щодо додержання режиму експлуатації авіаційного транспорту;</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3) заходи щодо зменшення обсягів викидів (емісії) забруднюючих речовин і зменшення рівня шуму, електромагнітного та радіаційного випромінювання;</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4) заходи щодо заборони скидання з повітряних суден шкідливих для здоров’я людини та навколишнього природного середовища речовин, відходів і матеріалів.</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 xml:space="preserve">Також чинним законодавством України (ст. 83 Повітряного кодексу України) закріплена вимога дотримання гранично допустимого рівня шуму під час експлуатації повітряного судна, емісії авіаційних двигунів та електромагнітного випромінювання об’єктів авіаційної діяльності, який </w:t>
      </w:r>
      <w:r>
        <w:rPr>
          <w:sz w:val="28"/>
          <w:szCs w:val="28"/>
          <w:lang w:val="uk-UA"/>
        </w:rPr>
        <w:lastRenderedPageBreak/>
        <w:t>встановлений авіаційними правилами України, тобто передбачені екологічні вимоги щодо провадження авіаційної діяльності.</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Варто зауважити, що одним із стимулюючих чинників забезпечення екологічної безпеки в авіаційній галузі, на нашу думку, слід вважати юридичну відповідальність за правопорушення у зазначеній сфері. Так, згідно зі ст. 126 Повітряного кодексу України за протиправні дії юридичні і фізичні особи, діяльність яких пов’язана з використанням повітряного простору України, розробленням, виготовленням, ремонтом та експлуатацією авіаційної техніки, здійснення господарської діяльності в галузі цивільної авіації, обслуговуванням повітряного руху, забезпечення безпеки авіації, складовою якої є й екологічна безпеки (ст. 10 Повітряного кодексу України), несуть відповідальність згідно із законом.</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Також вважаємо, що вагомим чинником нормативно-правового забезпечення екологічної безпеки діяльності авіаційної галузі має бути збалансована державна політики, яка покликана підвищити вимоги і відповідальність суб’єктів авіаційної діяльності за забруднення навколишнього природного середовища та стимулювання впровадження природоохоронних заходів.</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Таким чином, нормативно-правове забезпечення екологічної безпеки у сфері авіаційної галузі України повинно провадитися у межах:</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1) здійснення заходів щодо недопущення надзвичайних ситуацій (аварій) під час експлуатації авіаційного транспорту;</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2) дотримання екологічних вимог щодо провадження авіаційної діяльності;</w:t>
      </w:r>
    </w:p>
    <w:p w:rsidR="00E97F2D"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3) встановлення санкцій за порушення вимог щодо охорони навколишнього природного середовища при здійсненні діяльності з використанням повітряного простору.</w:t>
      </w:r>
    </w:p>
    <w:p w:rsidR="00E97F2D" w:rsidRPr="00EF7D98" w:rsidRDefault="00E97F2D" w:rsidP="00E97F2D">
      <w:pPr>
        <w:tabs>
          <w:tab w:val="right" w:pos="540"/>
        </w:tabs>
        <w:spacing w:line="360" w:lineRule="auto"/>
        <w:jc w:val="center"/>
        <w:rPr>
          <w:i/>
          <w:sz w:val="28"/>
          <w:szCs w:val="28"/>
          <w:lang w:val="uk-UA"/>
        </w:rPr>
      </w:pPr>
      <w:r>
        <w:rPr>
          <w:sz w:val="28"/>
          <w:szCs w:val="28"/>
          <w:lang w:val="uk-UA"/>
        </w:rPr>
        <w:tab/>
      </w:r>
      <w:r>
        <w:rPr>
          <w:sz w:val="28"/>
          <w:szCs w:val="28"/>
          <w:lang w:val="uk-UA"/>
        </w:rPr>
        <w:tab/>
      </w:r>
      <w:r w:rsidRPr="007E6744">
        <w:rPr>
          <w:i/>
          <w:sz w:val="28"/>
          <w:szCs w:val="28"/>
          <w:lang w:val="uk-UA"/>
        </w:rPr>
        <w:t>Література</w:t>
      </w:r>
    </w:p>
    <w:p w:rsidR="00E97F2D" w:rsidRPr="00EF7D98" w:rsidRDefault="00E97F2D" w:rsidP="00E97F2D">
      <w:pPr>
        <w:tabs>
          <w:tab w:val="right" w:pos="360"/>
          <w:tab w:val="right" w:pos="1980"/>
        </w:tabs>
        <w:spacing w:line="360" w:lineRule="auto"/>
        <w:jc w:val="both"/>
        <w:rPr>
          <w:sz w:val="28"/>
          <w:szCs w:val="28"/>
          <w:lang w:val="uk-UA"/>
        </w:rPr>
      </w:pPr>
      <w:r>
        <w:rPr>
          <w:sz w:val="28"/>
          <w:szCs w:val="28"/>
          <w:lang w:val="uk-UA"/>
        </w:rPr>
        <w:tab/>
      </w:r>
      <w:r>
        <w:rPr>
          <w:sz w:val="28"/>
          <w:szCs w:val="28"/>
          <w:lang w:val="uk-UA"/>
        </w:rPr>
        <w:tab/>
        <w:t xml:space="preserve">1. </w:t>
      </w:r>
      <w:proofErr w:type="spellStart"/>
      <w:r>
        <w:rPr>
          <w:sz w:val="28"/>
          <w:szCs w:val="28"/>
          <w:lang w:val="uk-UA"/>
        </w:rPr>
        <w:t>Андрейцев</w:t>
      </w:r>
      <w:proofErr w:type="spellEnd"/>
      <w:r>
        <w:rPr>
          <w:sz w:val="28"/>
          <w:szCs w:val="28"/>
          <w:lang w:val="uk-UA"/>
        </w:rPr>
        <w:t xml:space="preserve"> В.І. Безпека життя і здоров’я у системі найвищих соціальних цінностей: проблеми правового захисту / В.І. </w:t>
      </w:r>
      <w:proofErr w:type="spellStart"/>
      <w:r>
        <w:rPr>
          <w:sz w:val="28"/>
          <w:szCs w:val="28"/>
          <w:lang w:val="uk-UA"/>
        </w:rPr>
        <w:t>Андрейцев</w:t>
      </w:r>
      <w:proofErr w:type="spellEnd"/>
      <w:r>
        <w:rPr>
          <w:sz w:val="28"/>
          <w:szCs w:val="28"/>
          <w:lang w:val="uk-UA"/>
        </w:rPr>
        <w:t xml:space="preserve"> // </w:t>
      </w:r>
      <w:proofErr w:type="spellStart"/>
      <w:r>
        <w:rPr>
          <w:sz w:val="28"/>
          <w:szCs w:val="28"/>
        </w:rPr>
        <w:t>Актуальні</w:t>
      </w:r>
      <w:proofErr w:type="spellEnd"/>
      <w:r>
        <w:rPr>
          <w:sz w:val="28"/>
          <w:szCs w:val="28"/>
        </w:rPr>
        <w:t xml:space="preserve"> </w:t>
      </w:r>
      <w:proofErr w:type="spellStart"/>
      <w:r>
        <w:rPr>
          <w:sz w:val="28"/>
          <w:szCs w:val="28"/>
        </w:rPr>
        <w:lastRenderedPageBreak/>
        <w:t>проблеми</w:t>
      </w:r>
      <w:proofErr w:type="spellEnd"/>
      <w:r>
        <w:rPr>
          <w:sz w:val="28"/>
          <w:szCs w:val="28"/>
        </w:rPr>
        <w:t xml:space="preserve"> </w:t>
      </w:r>
      <w:proofErr w:type="spellStart"/>
      <w:r>
        <w:rPr>
          <w:sz w:val="28"/>
          <w:szCs w:val="28"/>
        </w:rPr>
        <w:t>становлення</w:t>
      </w:r>
      <w:proofErr w:type="spellEnd"/>
      <w:r>
        <w:rPr>
          <w:sz w:val="28"/>
          <w:szCs w:val="28"/>
        </w:rPr>
        <w:t xml:space="preserve"> і </w:t>
      </w:r>
      <w:proofErr w:type="spellStart"/>
      <w:r>
        <w:rPr>
          <w:sz w:val="28"/>
          <w:szCs w:val="28"/>
        </w:rPr>
        <w:t>розвитку</w:t>
      </w:r>
      <w:proofErr w:type="spellEnd"/>
      <w:r>
        <w:rPr>
          <w:sz w:val="28"/>
          <w:szCs w:val="28"/>
        </w:rPr>
        <w:t xml:space="preserve"> права </w:t>
      </w:r>
      <w:proofErr w:type="spellStart"/>
      <w:r>
        <w:rPr>
          <w:sz w:val="28"/>
          <w:szCs w:val="28"/>
        </w:rPr>
        <w:t>екологічної</w:t>
      </w:r>
      <w:proofErr w:type="spellEnd"/>
      <w:r>
        <w:rPr>
          <w:sz w:val="28"/>
          <w:szCs w:val="28"/>
        </w:rPr>
        <w:t xml:space="preserve"> </w:t>
      </w:r>
      <w:proofErr w:type="spellStart"/>
      <w:r>
        <w:rPr>
          <w:sz w:val="28"/>
          <w:szCs w:val="28"/>
        </w:rPr>
        <w:t>безпеки</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Матеріали</w:t>
      </w:r>
      <w:proofErr w:type="spellEnd"/>
      <w:r>
        <w:rPr>
          <w:sz w:val="28"/>
          <w:szCs w:val="28"/>
        </w:rPr>
        <w:t xml:space="preserve"> </w:t>
      </w:r>
      <w:proofErr w:type="spellStart"/>
      <w:r>
        <w:rPr>
          <w:sz w:val="28"/>
          <w:szCs w:val="28"/>
        </w:rPr>
        <w:t>науково</w:t>
      </w:r>
      <w:proofErr w:type="spellEnd"/>
      <w:r>
        <w:rPr>
          <w:sz w:val="28"/>
          <w:szCs w:val="28"/>
        </w:rPr>
        <w:t xml:space="preserve">-практичного Круглого столу, 28 </w:t>
      </w:r>
      <w:proofErr w:type="spellStart"/>
      <w:r>
        <w:rPr>
          <w:sz w:val="28"/>
          <w:szCs w:val="28"/>
        </w:rPr>
        <w:t>березня</w:t>
      </w:r>
      <w:proofErr w:type="spellEnd"/>
      <w:r>
        <w:rPr>
          <w:sz w:val="28"/>
          <w:szCs w:val="28"/>
        </w:rPr>
        <w:t xml:space="preserve"> 2014 р., м. </w:t>
      </w:r>
      <w:proofErr w:type="spellStart"/>
      <w:r>
        <w:rPr>
          <w:sz w:val="28"/>
          <w:szCs w:val="28"/>
        </w:rPr>
        <w:t>Київ</w:t>
      </w:r>
      <w:proofErr w:type="spellEnd"/>
      <w:r>
        <w:rPr>
          <w:sz w:val="28"/>
          <w:szCs w:val="28"/>
        </w:rPr>
        <w:t xml:space="preserve"> / ред. кол. М.В. Краснова </w:t>
      </w:r>
      <w:r w:rsidRPr="00502F52">
        <w:rPr>
          <w:sz w:val="28"/>
          <w:szCs w:val="28"/>
        </w:rPr>
        <w:t>[</w:t>
      </w:r>
      <w:r>
        <w:rPr>
          <w:sz w:val="28"/>
          <w:szCs w:val="28"/>
        </w:rPr>
        <w:t xml:space="preserve">та </w:t>
      </w:r>
      <w:proofErr w:type="spellStart"/>
      <w:r>
        <w:rPr>
          <w:sz w:val="28"/>
          <w:szCs w:val="28"/>
        </w:rPr>
        <w:t>ін</w:t>
      </w:r>
      <w:proofErr w:type="spellEnd"/>
      <w:proofErr w:type="gramStart"/>
      <w:r>
        <w:rPr>
          <w:sz w:val="28"/>
          <w:szCs w:val="28"/>
        </w:rPr>
        <w:t>..</w:t>
      </w:r>
      <w:r w:rsidRPr="00502F52">
        <w:rPr>
          <w:sz w:val="28"/>
          <w:szCs w:val="28"/>
        </w:rPr>
        <w:t>]</w:t>
      </w:r>
      <w:r>
        <w:rPr>
          <w:sz w:val="28"/>
          <w:szCs w:val="28"/>
        </w:rPr>
        <w:t xml:space="preserve">; </w:t>
      </w:r>
      <w:proofErr w:type="spellStart"/>
      <w:proofErr w:type="gramEnd"/>
      <w:r>
        <w:rPr>
          <w:sz w:val="28"/>
          <w:szCs w:val="28"/>
        </w:rPr>
        <w:t>Київський</w:t>
      </w:r>
      <w:proofErr w:type="spellEnd"/>
      <w:r>
        <w:rPr>
          <w:sz w:val="28"/>
          <w:szCs w:val="28"/>
        </w:rPr>
        <w:t xml:space="preserve"> </w:t>
      </w:r>
      <w:proofErr w:type="spellStart"/>
      <w:r>
        <w:rPr>
          <w:sz w:val="28"/>
          <w:szCs w:val="28"/>
        </w:rPr>
        <w:t>національний</w:t>
      </w:r>
      <w:proofErr w:type="spellEnd"/>
      <w:r>
        <w:rPr>
          <w:sz w:val="28"/>
          <w:szCs w:val="28"/>
        </w:rPr>
        <w:t xml:space="preserve"> </w:t>
      </w:r>
      <w:proofErr w:type="spellStart"/>
      <w:r>
        <w:rPr>
          <w:sz w:val="28"/>
          <w:szCs w:val="28"/>
        </w:rPr>
        <w:t>університет</w:t>
      </w:r>
      <w:proofErr w:type="spellEnd"/>
      <w:r>
        <w:rPr>
          <w:sz w:val="28"/>
          <w:szCs w:val="28"/>
        </w:rPr>
        <w:t xml:space="preserve"> </w:t>
      </w:r>
      <w:proofErr w:type="spellStart"/>
      <w:r>
        <w:rPr>
          <w:sz w:val="28"/>
          <w:szCs w:val="28"/>
        </w:rPr>
        <w:t>імені</w:t>
      </w:r>
      <w:proofErr w:type="spellEnd"/>
      <w:r>
        <w:rPr>
          <w:sz w:val="28"/>
          <w:szCs w:val="28"/>
        </w:rPr>
        <w:t xml:space="preserve"> Тараса </w:t>
      </w:r>
      <w:proofErr w:type="spellStart"/>
      <w:r>
        <w:rPr>
          <w:sz w:val="28"/>
          <w:szCs w:val="28"/>
        </w:rPr>
        <w:t>Шевченка</w:t>
      </w:r>
      <w:proofErr w:type="spellEnd"/>
      <w:r>
        <w:rPr>
          <w:sz w:val="28"/>
          <w:szCs w:val="28"/>
        </w:rPr>
        <w:t xml:space="preserve">. – </w:t>
      </w:r>
      <w:proofErr w:type="spellStart"/>
      <w:r>
        <w:rPr>
          <w:sz w:val="28"/>
          <w:szCs w:val="28"/>
        </w:rPr>
        <w:t>Чернівці</w:t>
      </w:r>
      <w:proofErr w:type="spellEnd"/>
      <w:r>
        <w:rPr>
          <w:sz w:val="28"/>
          <w:szCs w:val="28"/>
        </w:rPr>
        <w:t xml:space="preserve">: </w:t>
      </w:r>
      <w:proofErr w:type="spellStart"/>
      <w:r>
        <w:rPr>
          <w:sz w:val="28"/>
          <w:szCs w:val="28"/>
        </w:rPr>
        <w:t>Кондратьєв</w:t>
      </w:r>
      <w:proofErr w:type="spellEnd"/>
      <w:r>
        <w:rPr>
          <w:sz w:val="28"/>
          <w:szCs w:val="28"/>
        </w:rPr>
        <w:t xml:space="preserve"> А.В., 2014. – С. </w:t>
      </w:r>
      <w:r>
        <w:rPr>
          <w:sz w:val="28"/>
          <w:szCs w:val="28"/>
          <w:lang w:val="uk-UA"/>
        </w:rPr>
        <w:t>7-13</w:t>
      </w:r>
      <w:r>
        <w:rPr>
          <w:sz w:val="28"/>
          <w:szCs w:val="28"/>
        </w:rPr>
        <w:t>.</w:t>
      </w:r>
    </w:p>
    <w:p w:rsidR="007F1E52" w:rsidRDefault="00E97F2D" w:rsidP="00E97F2D">
      <w:r>
        <w:rPr>
          <w:color w:val="000000"/>
          <w:sz w:val="28"/>
          <w:szCs w:val="28"/>
          <w:lang w:val="uk-UA"/>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84"/>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E6684"/>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97F2D"/>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4799</Characters>
  <Application>Microsoft Office Word</Application>
  <DocSecurity>0</DocSecurity>
  <Lines>39</Lines>
  <Paragraphs>11</Paragraphs>
  <ScaleCrop>false</ScaleCrop>
  <Company>SPecialiST RePack</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2016-02-29T14:15:00Z</dcterms:created>
  <dcterms:modified xsi:type="dcterms:W3CDTF">2016-02-29T14:15:00Z</dcterms:modified>
</cp:coreProperties>
</file>