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DB8" w:rsidRDefault="00713DB8" w:rsidP="00713DB8">
      <w:pPr>
        <w:rPr>
          <w:b/>
        </w:rPr>
      </w:pPr>
      <w:r>
        <w:rPr>
          <w:b/>
        </w:rPr>
        <w:t>УДК 340.114.3 (045)</w:t>
      </w:r>
    </w:p>
    <w:p w:rsidR="00713DB8" w:rsidRDefault="00713DB8" w:rsidP="00713DB8">
      <w:pPr>
        <w:pStyle w:val="2"/>
        <w:numPr>
          <w:ilvl w:val="1"/>
          <w:numId w:val="1"/>
        </w:numPr>
        <w:tabs>
          <w:tab w:val="left" w:pos="0"/>
        </w:tabs>
        <w:ind w:left="0" w:firstLine="0"/>
        <w:rPr>
          <w:kern w:val="0"/>
          <w:lang w:eastAsia="ru-RU" w:bidi="ar-SA"/>
        </w:rPr>
      </w:pPr>
      <w:bookmarkStart w:id="0" w:name="_Toc470089678"/>
      <w:proofErr w:type="spellStart"/>
      <w:r>
        <w:rPr>
          <w:kern w:val="0"/>
          <w:lang w:eastAsia="ru-RU" w:bidi="ar-SA"/>
        </w:rPr>
        <w:t>Миронець</w:t>
      </w:r>
      <w:proofErr w:type="spellEnd"/>
      <w:r>
        <w:rPr>
          <w:kern w:val="0"/>
          <w:lang w:eastAsia="ru-RU" w:bidi="ar-SA"/>
        </w:rPr>
        <w:t xml:space="preserve"> О.М.</w:t>
      </w:r>
      <w:bookmarkEnd w:id="0"/>
    </w:p>
    <w:p w:rsidR="00713DB8" w:rsidRDefault="00713DB8" w:rsidP="00713DB8">
      <w:pPr>
        <w:pStyle w:val="a4"/>
      </w:pPr>
      <w:r>
        <w:rPr>
          <w:kern w:val="0"/>
          <w:lang w:eastAsia="ru-RU" w:bidi="ar-SA"/>
        </w:rPr>
        <w:t>старший викладач кафедри теорії та історії</w:t>
      </w:r>
    </w:p>
    <w:p w:rsidR="00713DB8" w:rsidRDefault="00713DB8" w:rsidP="00713DB8">
      <w:pPr>
        <w:pStyle w:val="a4"/>
        <w:rPr>
          <w:kern w:val="0"/>
          <w:lang w:eastAsia="ru-RU" w:bidi="ar-SA"/>
        </w:rPr>
      </w:pPr>
      <w:r>
        <w:rPr>
          <w:kern w:val="0"/>
          <w:lang w:eastAsia="ru-RU" w:bidi="ar-SA"/>
        </w:rPr>
        <w:t>держави і права</w:t>
      </w:r>
    </w:p>
    <w:p w:rsidR="00713DB8" w:rsidRDefault="00713DB8" w:rsidP="00713DB8">
      <w:pPr>
        <w:pStyle w:val="a4"/>
        <w:rPr>
          <w:kern w:val="0"/>
          <w:lang w:eastAsia="ar-SA" w:bidi="ar-SA"/>
        </w:rPr>
      </w:pPr>
      <w:r>
        <w:rPr>
          <w:kern w:val="0"/>
          <w:lang w:eastAsia="ar-SA" w:bidi="ar-SA"/>
        </w:rPr>
        <w:t>Навчально-наукового Юридичного інституту</w:t>
      </w:r>
    </w:p>
    <w:p w:rsidR="00713DB8" w:rsidRDefault="00713DB8" w:rsidP="00713DB8">
      <w:pPr>
        <w:pStyle w:val="a4"/>
        <w:rPr>
          <w:kern w:val="0"/>
          <w:lang w:eastAsia="ar-SA" w:bidi="ar-SA"/>
        </w:rPr>
      </w:pPr>
      <w:r>
        <w:rPr>
          <w:kern w:val="0"/>
          <w:lang w:eastAsia="ar-SA" w:bidi="ar-SA"/>
        </w:rPr>
        <w:t>Національного авіаційного університету</w:t>
      </w:r>
    </w:p>
    <w:p w:rsidR="00713DB8" w:rsidRDefault="00713DB8" w:rsidP="00713DB8">
      <w:pPr>
        <w:pStyle w:val="3"/>
        <w:numPr>
          <w:ilvl w:val="2"/>
          <w:numId w:val="1"/>
        </w:numPr>
        <w:tabs>
          <w:tab w:val="left" w:pos="0"/>
        </w:tabs>
        <w:ind w:left="0" w:firstLine="0"/>
      </w:pPr>
      <w:bookmarkStart w:id="1" w:name="_Toc470089679"/>
      <w:r>
        <w:t>ЗАГАЛЬНО-ПРАВОВІ ПОЛОЖЕННЯ ФУНКЦІЙ ПРАВА</w:t>
      </w:r>
      <w:bookmarkEnd w:id="1"/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>Актуальність дослідження функцій права полягає у вирішенні таких наукових і практичних завдань, як-от: збагатити і поглибити наукові уявлення про функції права та їх класифікацію на сучасному етапі розвитку України, підвищити якість законів, а також проаналізувати проблему невиконання нормативно-правових актів суб’єктами правовідносин, запропонувати реальні шляхи ефективної дії законодавства.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Функції права були і є предметом досліджень у вітчизняній і зарубіжній науці. Такі наукові пошуки здійснюються як теоретиками права, так і науковцями, які представляють галузеві юридичні науки. Про це свідчать праці таких </w:t>
      </w:r>
      <w:r>
        <w:t>вітчизняних</w:t>
      </w:r>
      <w:r>
        <w:rPr>
          <w:kern w:val="0"/>
          <w:lang w:eastAsia="ru-RU" w:bidi="ar-SA"/>
        </w:rPr>
        <w:t xml:space="preserve"> вчених, як: В. </w:t>
      </w:r>
      <w:proofErr w:type="spellStart"/>
      <w:r>
        <w:rPr>
          <w:kern w:val="0"/>
          <w:lang w:eastAsia="ru-RU" w:bidi="ar-SA"/>
        </w:rPr>
        <w:t>Копейчиков</w:t>
      </w:r>
      <w:proofErr w:type="spellEnd"/>
      <w:r>
        <w:rPr>
          <w:kern w:val="0"/>
          <w:lang w:eastAsia="ru-RU" w:bidi="ar-SA"/>
        </w:rPr>
        <w:t xml:space="preserve">, М. </w:t>
      </w:r>
      <w:proofErr w:type="spellStart"/>
      <w:r>
        <w:rPr>
          <w:kern w:val="0"/>
          <w:lang w:eastAsia="ru-RU" w:bidi="ar-SA"/>
        </w:rPr>
        <w:t>Логвінова</w:t>
      </w:r>
      <w:proofErr w:type="spellEnd"/>
      <w:r>
        <w:rPr>
          <w:kern w:val="0"/>
          <w:lang w:eastAsia="ru-RU" w:bidi="ar-SA"/>
        </w:rPr>
        <w:t xml:space="preserve">, </w:t>
      </w:r>
      <w:proofErr w:type="spellStart"/>
      <w:r>
        <w:rPr>
          <w:kern w:val="0"/>
          <w:lang w:eastAsia="ru-RU" w:bidi="ar-SA"/>
        </w:rPr>
        <w:t>Л. Одег</w:t>
      </w:r>
      <w:proofErr w:type="spellEnd"/>
      <w:r>
        <w:rPr>
          <w:kern w:val="0"/>
          <w:lang w:eastAsia="ru-RU" w:bidi="ar-SA"/>
        </w:rPr>
        <w:t xml:space="preserve">ова, О. Олійник, </w:t>
      </w:r>
      <w:proofErr w:type="spellStart"/>
      <w:r>
        <w:rPr>
          <w:kern w:val="0"/>
          <w:lang w:eastAsia="ru-RU" w:bidi="ar-SA"/>
        </w:rPr>
        <w:t>Н. Оніще</w:t>
      </w:r>
      <w:proofErr w:type="spellEnd"/>
      <w:r>
        <w:rPr>
          <w:kern w:val="0"/>
          <w:lang w:eastAsia="ru-RU" w:bidi="ar-SA"/>
        </w:rPr>
        <w:t xml:space="preserve">нко, І. Ситар, О. Скакун, а також зарубіжних науковців: С. Алексєєва, М. </w:t>
      </w:r>
      <w:proofErr w:type="spellStart"/>
      <w:r>
        <w:rPr>
          <w:kern w:val="0"/>
          <w:lang w:eastAsia="ru-RU" w:bidi="ar-SA"/>
        </w:rPr>
        <w:t>Байтіна</w:t>
      </w:r>
      <w:proofErr w:type="spellEnd"/>
      <w:r>
        <w:rPr>
          <w:kern w:val="0"/>
          <w:lang w:eastAsia="ru-RU" w:bidi="ar-SA"/>
        </w:rPr>
        <w:t xml:space="preserve">, В. Лазарєва, А. </w:t>
      </w:r>
      <w:proofErr w:type="spellStart"/>
      <w:r>
        <w:rPr>
          <w:kern w:val="0"/>
          <w:lang w:eastAsia="ru-RU" w:bidi="ar-SA"/>
        </w:rPr>
        <w:t>Матузова</w:t>
      </w:r>
      <w:proofErr w:type="spellEnd"/>
      <w:r>
        <w:rPr>
          <w:kern w:val="0"/>
          <w:lang w:eastAsia="ru-RU" w:bidi="ar-SA"/>
        </w:rPr>
        <w:t xml:space="preserve">, Т. Радько, </w:t>
      </w:r>
      <w:proofErr w:type="spellStart"/>
      <w:r>
        <w:rPr>
          <w:kern w:val="0"/>
          <w:lang w:eastAsia="ru-RU" w:bidi="ar-SA"/>
        </w:rPr>
        <w:t>В. Синюк</w:t>
      </w:r>
      <w:proofErr w:type="spellEnd"/>
      <w:r>
        <w:rPr>
          <w:kern w:val="0"/>
          <w:lang w:eastAsia="ru-RU" w:bidi="ar-SA"/>
        </w:rPr>
        <w:t xml:space="preserve">ова, </w:t>
      </w:r>
      <w:proofErr w:type="spellStart"/>
      <w:r>
        <w:rPr>
          <w:kern w:val="0"/>
          <w:lang w:eastAsia="ru-RU" w:bidi="ar-SA"/>
        </w:rPr>
        <w:t>І. Фарб</w:t>
      </w:r>
      <w:proofErr w:type="spellEnd"/>
      <w:r>
        <w:rPr>
          <w:kern w:val="0"/>
          <w:lang w:eastAsia="ru-RU" w:bidi="ar-SA"/>
        </w:rPr>
        <w:t xml:space="preserve">ера та інших. Не можна сказати, що функції </w:t>
      </w:r>
      <w:r>
        <w:t>права</w:t>
      </w:r>
      <w:r>
        <w:rPr>
          <w:kern w:val="0"/>
          <w:lang w:eastAsia="ru-RU" w:bidi="ar-SA"/>
        </w:rPr>
        <w:t xml:space="preserve"> та їх класифікація не розглядаються, проте дані питання залишаються відкритими для подальших наукових досліджень. Вказане зумовлює необхідність визначення та з’ясування поняття </w:t>
      </w:r>
      <w:proofErr w:type="spellStart"/>
      <w:r>
        <w:rPr>
          <w:kern w:val="0"/>
          <w:lang w:eastAsia="ru-RU" w:bidi="ar-SA"/>
        </w:rPr>
        <w:t>„функції</w:t>
      </w:r>
      <w:proofErr w:type="spellEnd"/>
      <w:r>
        <w:rPr>
          <w:kern w:val="0"/>
          <w:lang w:eastAsia="ru-RU" w:bidi="ar-SA"/>
        </w:rPr>
        <w:t xml:space="preserve"> права” та здійснення їх класифікації.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Нинішнє розуміння функцій права, а саме: поняття, класифікація ґрунтується на наукових розробках вітчизняних вчених, таких як: О. Іоффе, Т. Радько, В. </w:t>
      </w:r>
      <w:proofErr w:type="spellStart"/>
      <w:r>
        <w:rPr>
          <w:kern w:val="0"/>
          <w:lang w:eastAsia="ru-RU" w:bidi="ar-SA"/>
        </w:rPr>
        <w:t>Синюков</w:t>
      </w:r>
      <w:proofErr w:type="spellEnd"/>
      <w:r>
        <w:rPr>
          <w:kern w:val="0"/>
          <w:lang w:eastAsia="ru-RU" w:bidi="ar-SA"/>
        </w:rPr>
        <w:t xml:space="preserve"> та інших науковців [1, с. 193-195; 2; 3, с. 154-158].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Найбільш розповсюдженим є підхід, відповідно до якого функціями права є </w:t>
      </w:r>
      <w:proofErr w:type="spellStart"/>
      <w:r>
        <w:rPr>
          <w:kern w:val="0"/>
          <w:lang w:eastAsia="ru-RU" w:bidi="ar-SA"/>
        </w:rPr>
        <w:t>„основні</w:t>
      </w:r>
      <w:proofErr w:type="spellEnd"/>
      <w:r>
        <w:rPr>
          <w:kern w:val="0"/>
          <w:lang w:eastAsia="ru-RU" w:bidi="ar-SA"/>
        </w:rPr>
        <w:t xml:space="preserve"> напрямами впливу права на суспільні відносини” (С. Алексєєв, В. Лазарєв, О. Скакун та інші) [4, с. 191; 5, с. 124; 6, с. 225]. Основні аргументи на користь цієї позиції зводяться до того, що у функціях права відображається його активна роль, саме напрями правового впливу виражають роль права в суспільному житті та регулюванні відносин у суспільстві. Метою такого впливу є впорядкування суспільних відносин. Сутність права визначає напрями його впливу, у яких набувають </w:t>
      </w:r>
      <w:r>
        <w:rPr>
          <w:kern w:val="0"/>
          <w:lang w:eastAsia="ru-RU" w:bidi="ar-SA"/>
        </w:rPr>
        <w:lastRenderedPageBreak/>
        <w:t>свого розкриття його соціальне призначення і природа.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Прихильники </w:t>
      </w:r>
      <w:r>
        <w:t>другого</w:t>
      </w:r>
      <w:r>
        <w:rPr>
          <w:kern w:val="0"/>
          <w:lang w:eastAsia="ru-RU" w:bidi="ar-SA"/>
        </w:rPr>
        <w:t xml:space="preserve"> підходу розуміють під досліджуваним поняттям </w:t>
      </w:r>
      <w:proofErr w:type="spellStart"/>
      <w:r>
        <w:rPr>
          <w:kern w:val="0"/>
          <w:lang w:eastAsia="ru-RU" w:bidi="ar-SA"/>
        </w:rPr>
        <w:t>„соціальну</w:t>
      </w:r>
      <w:proofErr w:type="spellEnd"/>
      <w:r>
        <w:rPr>
          <w:kern w:val="0"/>
          <w:lang w:eastAsia="ru-RU" w:bidi="ar-SA"/>
        </w:rPr>
        <w:t xml:space="preserve"> роль права” (В. Ковальський та інші) [7, с. 3]. Основним аргументом цієї наукової позиції є розуміння, відповідно до якого функції права визначаються його призначенням у різних сферах життя суспільства.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Існує також третій підхід, відповідно до якого пропонується розуміти функції права, об’єднавши точки зору обох вказаних вище підходів, а саме, як соціальне призначення права, а також напрями правового впливу на суспільні відносини (М. </w:t>
      </w:r>
      <w:proofErr w:type="spellStart"/>
      <w:r>
        <w:rPr>
          <w:kern w:val="0"/>
          <w:lang w:eastAsia="ru-RU" w:bidi="ar-SA"/>
        </w:rPr>
        <w:t>Байтін</w:t>
      </w:r>
      <w:proofErr w:type="spellEnd"/>
      <w:r>
        <w:rPr>
          <w:kern w:val="0"/>
          <w:lang w:eastAsia="ru-RU" w:bidi="ar-SA"/>
        </w:rPr>
        <w:t xml:space="preserve">, Т. Радько, В. </w:t>
      </w:r>
      <w:proofErr w:type="spellStart"/>
      <w:r>
        <w:rPr>
          <w:kern w:val="0"/>
          <w:lang w:eastAsia="ru-RU" w:bidi="ar-SA"/>
        </w:rPr>
        <w:t>Синюков</w:t>
      </w:r>
      <w:proofErr w:type="spellEnd"/>
      <w:r>
        <w:rPr>
          <w:kern w:val="0"/>
          <w:lang w:eastAsia="ru-RU" w:bidi="ar-SA"/>
        </w:rPr>
        <w:t xml:space="preserve"> та інші) [8, с. 168; 9, с. 227; 3, с. 154-155]. Прихильниками даної точки зору звертається увага на недоцільність протиставляти або ототожнювати напрями правового впливу соціальному призначенню права у зв’язку з їх постійним взаємозв’язком. На цій підставі функції права визначають як </w:t>
      </w:r>
      <w:proofErr w:type="spellStart"/>
      <w:r>
        <w:rPr>
          <w:kern w:val="0"/>
          <w:lang w:eastAsia="ru-RU" w:bidi="ar-SA"/>
        </w:rPr>
        <w:t>„правову</w:t>
      </w:r>
      <w:proofErr w:type="spellEnd"/>
      <w:r>
        <w:rPr>
          <w:kern w:val="0"/>
          <w:lang w:eastAsia="ru-RU" w:bidi="ar-SA"/>
        </w:rPr>
        <w:t xml:space="preserve"> характеристику соціокультурної реальності суспільства та окремих його компонентів”, обґрунтовуючи дану позицію динамікою права в результаті взаємодії з зовнішніми процесами менталітету суспільства (</w:t>
      </w:r>
      <w:proofErr w:type="spellStart"/>
      <w:r>
        <w:rPr>
          <w:kern w:val="0"/>
          <w:lang w:eastAsia="ru-RU" w:bidi="ar-SA"/>
        </w:rPr>
        <w:t>В. Синю</w:t>
      </w:r>
      <w:proofErr w:type="spellEnd"/>
      <w:r>
        <w:rPr>
          <w:kern w:val="0"/>
          <w:lang w:eastAsia="ru-RU" w:bidi="ar-SA"/>
        </w:rPr>
        <w:t>ков) [3, с. 155].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Заслуговує на увагу розуміння функцій права як </w:t>
      </w:r>
      <w:proofErr w:type="spellStart"/>
      <w:r>
        <w:rPr>
          <w:kern w:val="0"/>
          <w:lang w:eastAsia="ru-RU" w:bidi="ar-SA"/>
        </w:rPr>
        <w:t>„конкретної</w:t>
      </w:r>
      <w:proofErr w:type="spellEnd"/>
      <w:r>
        <w:rPr>
          <w:kern w:val="0"/>
          <w:lang w:eastAsia="ru-RU" w:bidi="ar-SA"/>
        </w:rPr>
        <w:t xml:space="preserve"> ролі (дії права) по </w:t>
      </w:r>
      <w:r>
        <w:t>організації</w:t>
      </w:r>
      <w:r>
        <w:rPr>
          <w:kern w:val="0"/>
          <w:lang w:eastAsia="ru-RU" w:bidi="ar-SA"/>
        </w:rPr>
        <w:t xml:space="preserve"> суспільних відносин” (Ю. Ткаченко) [10, с. 34].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Існує також </w:t>
      </w:r>
      <w:r>
        <w:t>позиція</w:t>
      </w:r>
      <w:r>
        <w:rPr>
          <w:kern w:val="0"/>
          <w:lang w:eastAsia="ru-RU" w:bidi="ar-SA"/>
        </w:rPr>
        <w:t xml:space="preserve">, відповідно до якої розмежовуються поняття </w:t>
      </w:r>
      <w:proofErr w:type="spellStart"/>
      <w:r>
        <w:rPr>
          <w:kern w:val="0"/>
          <w:lang w:eastAsia="ru-RU" w:bidi="ar-SA"/>
        </w:rPr>
        <w:t>„правова</w:t>
      </w:r>
      <w:proofErr w:type="spellEnd"/>
      <w:r>
        <w:rPr>
          <w:kern w:val="0"/>
          <w:lang w:eastAsia="ru-RU" w:bidi="ar-SA"/>
        </w:rPr>
        <w:t xml:space="preserve"> функція” та </w:t>
      </w:r>
      <w:proofErr w:type="spellStart"/>
      <w:r>
        <w:rPr>
          <w:kern w:val="0"/>
          <w:lang w:eastAsia="ru-RU" w:bidi="ar-SA"/>
        </w:rPr>
        <w:t>„функція</w:t>
      </w:r>
      <w:proofErr w:type="spellEnd"/>
      <w:r>
        <w:rPr>
          <w:kern w:val="0"/>
          <w:lang w:eastAsia="ru-RU" w:bidi="ar-SA"/>
        </w:rPr>
        <w:t xml:space="preserve"> права”. Аргументація даного розуміння зводиться до того, що право виконує правову функцію для створення правових норм, а суть функції права у тому, щоб сприяти використанню правових норм для життєво важливих потреб (І. Ситар) [11, с. 6].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Аналізуючи поняття </w:t>
      </w:r>
      <w:proofErr w:type="spellStart"/>
      <w:r>
        <w:rPr>
          <w:kern w:val="0"/>
          <w:lang w:eastAsia="ru-RU" w:bidi="ar-SA"/>
        </w:rPr>
        <w:t>„функція</w:t>
      </w:r>
      <w:proofErr w:type="spellEnd"/>
      <w:r>
        <w:rPr>
          <w:kern w:val="0"/>
          <w:lang w:eastAsia="ru-RU" w:bidi="ar-SA"/>
        </w:rPr>
        <w:t xml:space="preserve"> права”, на нашу думку, не можна погодитись з точкою зору прихильників двох перших наукових підходів щодо </w:t>
      </w:r>
      <w:r>
        <w:t>розуміння</w:t>
      </w:r>
      <w:r>
        <w:rPr>
          <w:kern w:val="0"/>
          <w:lang w:eastAsia="ru-RU" w:bidi="ar-SA"/>
        </w:rPr>
        <w:t xml:space="preserve"> досліджуваного поняття. Річ у тім, що обидва підходи характеризують лише один або інший бік поняття </w:t>
      </w:r>
      <w:proofErr w:type="spellStart"/>
      <w:r>
        <w:rPr>
          <w:kern w:val="0"/>
          <w:lang w:eastAsia="ru-RU" w:bidi="ar-SA"/>
        </w:rPr>
        <w:t>„функція</w:t>
      </w:r>
      <w:proofErr w:type="spellEnd"/>
      <w:r>
        <w:rPr>
          <w:kern w:val="0"/>
          <w:lang w:eastAsia="ru-RU" w:bidi="ar-SA"/>
        </w:rPr>
        <w:t xml:space="preserve"> права” окремо. Не можна обмежити розуміння функцій права виключно його соціальним призначенням, так як і недоцільно зводити цей процес лише до напрямів юридичного впливу права на відносини у суспільстві. На нашу думку, варто підтримати позицію науковців третього підходу щодо розуміння досліджуваного поняття. Ми вважаємо, що функції права здійснюють свою роль у суспільстві як на рівні взаємодії права з явищами суспільного життя, так і на рівні реалізації власне </w:t>
      </w:r>
      <w:r>
        <w:rPr>
          <w:kern w:val="0"/>
          <w:lang w:eastAsia="ru-RU" w:bidi="ar-SA"/>
        </w:rPr>
        <w:lastRenderedPageBreak/>
        <w:t>правових функцій.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У зв’язку з наведеним вище, на наш погляд, визначення поняття, яке повною мірою відображає суть дефініції </w:t>
      </w:r>
      <w:proofErr w:type="spellStart"/>
      <w:r>
        <w:rPr>
          <w:kern w:val="0"/>
          <w:lang w:eastAsia="ru-RU" w:bidi="ar-SA"/>
        </w:rPr>
        <w:t>„функції</w:t>
      </w:r>
      <w:proofErr w:type="spellEnd"/>
      <w:r>
        <w:rPr>
          <w:kern w:val="0"/>
          <w:lang w:eastAsia="ru-RU" w:bidi="ar-SA"/>
        </w:rPr>
        <w:t xml:space="preserve"> права” можна сформулювати як соціальне призначення права, а також головні напрями його впливу на суспільні відносини.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>Існують різні підходи до класифікації функцій права, що характеризує їх як багатоаспектне явище.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 сьогодні найбільш поширеною серед науковців є позиція про поділ функцій права на </w:t>
      </w:r>
      <w:proofErr w:type="spellStart"/>
      <w:r>
        <w:rPr>
          <w:kern w:val="0"/>
          <w:lang w:eastAsia="ru-RU" w:bidi="ar-SA"/>
        </w:rPr>
        <w:t>загальносоціальні</w:t>
      </w:r>
      <w:proofErr w:type="spellEnd"/>
      <w:r>
        <w:rPr>
          <w:kern w:val="0"/>
          <w:lang w:eastAsia="ru-RU" w:bidi="ar-SA"/>
        </w:rPr>
        <w:t xml:space="preserve"> та спеціально-соціальні (юридичні) (С. </w:t>
      </w:r>
      <w:r>
        <w:t>Алексєєв</w:t>
      </w:r>
      <w:r>
        <w:rPr>
          <w:kern w:val="0"/>
          <w:lang w:eastAsia="ru-RU" w:bidi="ar-SA"/>
        </w:rPr>
        <w:t xml:space="preserve">, В. Ковальський, В. </w:t>
      </w:r>
      <w:proofErr w:type="spellStart"/>
      <w:r>
        <w:rPr>
          <w:kern w:val="0"/>
          <w:lang w:eastAsia="ru-RU" w:bidi="ar-SA"/>
        </w:rPr>
        <w:t>Синюков</w:t>
      </w:r>
      <w:proofErr w:type="spellEnd"/>
      <w:r>
        <w:rPr>
          <w:kern w:val="0"/>
          <w:lang w:eastAsia="ru-RU" w:bidi="ar-SA"/>
        </w:rPr>
        <w:t xml:space="preserve">, О. Скакун та інші) [4, с. 191; 7, с. 4; 3, с. 156-157; 6, с. 225]. Аргументацією даного підходу є те, що функції права розглядаються в декількох площинах, залежно від здійснення їх в межах усієї державно-правової частини надбудови або ж тільки в межах самого права (С. Алексєєв) [4, с. 191]. На цій підставі вченими визначається, що </w:t>
      </w:r>
      <w:proofErr w:type="spellStart"/>
      <w:r>
        <w:rPr>
          <w:kern w:val="0"/>
          <w:lang w:eastAsia="ru-RU" w:bidi="ar-SA"/>
        </w:rPr>
        <w:t>загальносоціальними</w:t>
      </w:r>
      <w:proofErr w:type="spellEnd"/>
      <w:r>
        <w:rPr>
          <w:kern w:val="0"/>
          <w:lang w:eastAsia="ru-RU" w:bidi="ar-SA"/>
        </w:rPr>
        <w:t xml:space="preserve"> функціями є напрями взаємодії права та інших соціальних явищ, а спеціально-соціальними – напрями власне правового впливу на суспільні відносини (</w:t>
      </w:r>
      <w:proofErr w:type="spellStart"/>
      <w:r>
        <w:rPr>
          <w:kern w:val="0"/>
          <w:lang w:eastAsia="ru-RU" w:bidi="ar-SA"/>
        </w:rPr>
        <w:t>Т. Андру</w:t>
      </w:r>
      <w:proofErr w:type="spellEnd"/>
      <w:r>
        <w:rPr>
          <w:kern w:val="0"/>
          <w:lang w:eastAsia="ru-RU" w:bidi="ar-SA"/>
        </w:rPr>
        <w:t xml:space="preserve">сяк та інші) [12, с. 96-97]. Іноді загальні функції права називають соціально-політичними, </w:t>
      </w:r>
      <w:proofErr w:type="spellStart"/>
      <w:r>
        <w:rPr>
          <w:kern w:val="0"/>
          <w:lang w:eastAsia="ru-RU" w:bidi="ar-SA"/>
        </w:rPr>
        <w:t>обгрунтовуючи</w:t>
      </w:r>
      <w:proofErr w:type="spellEnd"/>
      <w:r>
        <w:rPr>
          <w:kern w:val="0"/>
          <w:lang w:eastAsia="ru-RU" w:bidi="ar-SA"/>
        </w:rPr>
        <w:t xml:space="preserve"> таку позицію розглядом права широко, у єдності з державою, коли воно виражає свій соціально-політичний зміст (С. Алексєєв) [4, с. 191].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У процесі аналізу спеціально-соціальних функцій права більшість науковців відносять до них охоронну та регулятивну, висловлюючи спільну думку про поділ останньої на статичну та динамічну (С. Алексєєв, А. Олійник, В. </w:t>
      </w:r>
      <w:proofErr w:type="spellStart"/>
      <w:r>
        <w:rPr>
          <w:kern w:val="0"/>
          <w:lang w:eastAsia="ru-RU" w:bidi="ar-SA"/>
        </w:rPr>
        <w:t>Синюков</w:t>
      </w:r>
      <w:proofErr w:type="spellEnd"/>
      <w:r>
        <w:rPr>
          <w:kern w:val="0"/>
          <w:lang w:eastAsia="ru-RU" w:bidi="ar-SA"/>
        </w:rPr>
        <w:t>, О. Скакун та інші) [4, с. </w:t>
      </w:r>
      <w:r>
        <w:t>191</w:t>
      </w:r>
      <w:r>
        <w:rPr>
          <w:kern w:val="0"/>
          <w:lang w:eastAsia="ru-RU" w:bidi="ar-SA"/>
        </w:rPr>
        <w:t>-192; 13, с. 77-78; 3, с. 157; 6, с. 226-227]. Існує думка, відповідно до якої до спеціальних функцій права відносять додатково установчу та інформаційну (В. Ковальський) [7, с. 4].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Проте відсутня єдність та чітка позиція науковців щодо поділу </w:t>
      </w:r>
      <w:proofErr w:type="spellStart"/>
      <w:r>
        <w:rPr>
          <w:kern w:val="0"/>
          <w:lang w:eastAsia="ru-RU" w:bidi="ar-SA"/>
        </w:rPr>
        <w:t>загальносоціальних</w:t>
      </w:r>
      <w:proofErr w:type="spellEnd"/>
      <w:r>
        <w:rPr>
          <w:kern w:val="0"/>
          <w:lang w:eastAsia="ru-RU" w:bidi="ar-SA"/>
        </w:rPr>
        <w:t xml:space="preserve"> функцій права. За винятком певних нюансів прихильники вказаного підходу відносять до загальних такі функції, як-от: політичну, економічну, соціальну, ідеологічну (В. Ковальський) [7, с. 4], культурно-історичну, виховну, функцію соціального контролю, </w:t>
      </w:r>
      <w:proofErr w:type="spellStart"/>
      <w:r>
        <w:rPr>
          <w:kern w:val="0"/>
          <w:lang w:eastAsia="ru-RU" w:bidi="ar-SA"/>
        </w:rPr>
        <w:t>інформаційно-</w:t>
      </w:r>
      <w:r>
        <w:t>орієнтаційну</w:t>
      </w:r>
      <w:proofErr w:type="spellEnd"/>
      <w:r>
        <w:rPr>
          <w:kern w:val="0"/>
          <w:lang w:eastAsia="ru-RU" w:bidi="ar-SA"/>
        </w:rPr>
        <w:t xml:space="preserve"> (</w:t>
      </w:r>
      <w:proofErr w:type="spellStart"/>
      <w:r>
        <w:rPr>
          <w:kern w:val="0"/>
          <w:lang w:eastAsia="ru-RU" w:bidi="ar-SA"/>
        </w:rPr>
        <w:t>В. Синю</w:t>
      </w:r>
      <w:proofErr w:type="spellEnd"/>
      <w:r>
        <w:rPr>
          <w:kern w:val="0"/>
          <w:lang w:eastAsia="ru-RU" w:bidi="ar-SA"/>
        </w:rPr>
        <w:t xml:space="preserve">ков) [3, с. 87-88], інформаційну, </w:t>
      </w:r>
      <w:proofErr w:type="spellStart"/>
      <w:r>
        <w:rPr>
          <w:kern w:val="0"/>
          <w:lang w:eastAsia="ru-RU" w:bidi="ar-SA"/>
        </w:rPr>
        <w:t>орієнтаційну</w:t>
      </w:r>
      <w:proofErr w:type="spellEnd"/>
      <w:r>
        <w:rPr>
          <w:kern w:val="0"/>
          <w:lang w:eastAsia="ru-RU" w:bidi="ar-SA"/>
        </w:rPr>
        <w:t>, виховну (О. Скакун) [6, с. 225], гуманістичну, організаторсько-управлінську, інфор</w:t>
      </w:r>
      <w:r>
        <w:rPr>
          <w:kern w:val="0"/>
          <w:lang w:eastAsia="ru-RU" w:bidi="ar-SA"/>
        </w:rPr>
        <w:softHyphen/>
        <w:t xml:space="preserve">маційну (комунікативну), оцінно-орієнтувальну, ідеологічно-виховну, гносеологічну (пізнавальну) (А. Олійник) [13, с. 77]. Зазначений підхід ґрунтується на тому, що право виконує у </w:t>
      </w:r>
      <w:r>
        <w:rPr>
          <w:kern w:val="0"/>
          <w:lang w:eastAsia="ru-RU" w:bidi="ar-SA"/>
        </w:rPr>
        <w:lastRenderedPageBreak/>
        <w:t>суспільстві виховну, інформаційну, оціночну, орієнтувальну та інші функції, так як взаємодіє з соціальними інститутами.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Відповідно до другого підходу пропонується розглядати функції права як систему, яка </w:t>
      </w:r>
      <w:r>
        <w:t>включає</w:t>
      </w:r>
      <w:r>
        <w:rPr>
          <w:kern w:val="0"/>
          <w:lang w:eastAsia="ru-RU" w:bidi="ar-SA"/>
        </w:rPr>
        <w:t xml:space="preserve"> в себе багато рівнів (</w:t>
      </w:r>
      <w:proofErr w:type="spellStart"/>
      <w:r>
        <w:rPr>
          <w:kern w:val="0"/>
          <w:lang w:eastAsia="ru-RU" w:bidi="ar-SA"/>
        </w:rPr>
        <w:t>М. Бай</w:t>
      </w:r>
      <w:proofErr w:type="spellEnd"/>
      <w:r>
        <w:rPr>
          <w:kern w:val="0"/>
          <w:lang w:eastAsia="ru-RU" w:bidi="ar-SA"/>
        </w:rPr>
        <w:t>тін, Т. Радько та інші) [8, с. 167, 175 – 176; 9, с. 230].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 думку Т. Радько, систему функцій права можна поділити на п’ять груп: </w:t>
      </w:r>
      <w:proofErr w:type="spellStart"/>
      <w:r>
        <w:t>загальноправові</w:t>
      </w:r>
      <w:proofErr w:type="spellEnd"/>
      <w:r>
        <w:rPr>
          <w:kern w:val="0"/>
          <w:lang w:eastAsia="ru-RU" w:bidi="ar-SA"/>
        </w:rPr>
        <w:t xml:space="preserve"> (до яких відносять регулятивну та охоронну), міжгалузеві, галузеві, правових інститутів та функції норми права [9, с. 230].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М. </w:t>
      </w:r>
      <w:proofErr w:type="spellStart"/>
      <w:r>
        <w:rPr>
          <w:kern w:val="0"/>
          <w:lang w:eastAsia="ru-RU" w:bidi="ar-SA"/>
        </w:rPr>
        <w:t>Байтін</w:t>
      </w:r>
      <w:proofErr w:type="spellEnd"/>
      <w:r>
        <w:rPr>
          <w:kern w:val="0"/>
          <w:lang w:eastAsia="ru-RU" w:bidi="ar-SA"/>
        </w:rPr>
        <w:t xml:space="preserve"> поділяє вказану вище досліджувану систему функцій на: основні </w:t>
      </w:r>
      <w:proofErr w:type="spellStart"/>
      <w:r>
        <w:rPr>
          <w:kern w:val="0"/>
          <w:lang w:eastAsia="ru-RU" w:bidi="ar-SA"/>
        </w:rPr>
        <w:t>загальноправові</w:t>
      </w:r>
      <w:proofErr w:type="spellEnd"/>
      <w:r>
        <w:rPr>
          <w:kern w:val="0"/>
          <w:lang w:eastAsia="ru-RU" w:bidi="ar-SA"/>
        </w:rPr>
        <w:t xml:space="preserve"> функції, </w:t>
      </w:r>
      <w:r>
        <w:t>виховну</w:t>
      </w:r>
      <w:r>
        <w:rPr>
          <w:kern w:val="0"/>
          <w:lang w:eastAsia="ru-RU" w:bidi="ar-SA"/>
        </w:rPr>
        <w:t>, загальні функції права, які випливають з основних, приватні функції права, які випливають з основних, функції галузей права, які випливають з основних, функції правових інститутів, які випливають з основних та галузевих функцій, функції окремих правових норм, які випливають з основних, галузевих та функцій правових інститутів [8, с. 175 - 176].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Одні представники цього підходу </w:t>
      </w:r>
      <w:proofErr w:type="spellStart"/>
      <w:r>
        <w:rPr>
          <w:kern w:val="0"/>
          <w:lang w:eastAsia="ru-RU" w:bidi="ar-SA"/>
        </w:rPr>
        <w:t>обгрунтовують</w:t>
      </w:r>
      <w:proofErr w:type="spellEnd"/>
      <w:r>
        <w:rPr>
          <w:kern w:val="0"/>
          <w:lang w:eastAsia="ru-RU" w:bidi="ar-SA"/>
        </w:rPr>
        <w:t xml:space="preserve"> свою позицію необхідністю введення в науковий обіг поняття 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 або неосновної функції. </w:t>
      </w:r>
      <w:r>
        <w:t>Звертається</w:t>
      </w:r>
      <w:r>
        <w:rPr>
          <w:kern w:val="0"/>
          <w:lang w:eastAsia="ru-RU" w:bidi="ar-SA"/>
        </w:rPr>
        <w:t xml:space="preserve"> увага на аналіз правового впливу на суспільні відносини, що дозволяє виокремити основні функції права, які властиві всім галузям права, а також функції менш загального значення, які властиві лише певним галузям права (Т. Радько) [9, с. 230-231]. Інші прихильники даної наукової позиції вводиться поняття двоєдиного критерію для виділення основних та інших загальних функцій, який складається з двостороннього впливу права на суспільні відносини – характер і ціль (М. </w:t>
      </w:r>
      <w:proofErr w:type="spellStart"/>
      <w:r>
        <w:rPr>
          <w:kern w:val="0"/>
          <w:lang w:eastAsia="ru-RU" w:bidi="ar-SA"/>
        </w:rPr>
        <w:t>Байтін</w:t>
      </w:r>
      <w:proofErr w:type="spellEnd"/>
      <w:r>
        <w:rPr>
          <w:kern w:val="0"/>
          <w:lang w:eastAsia="ru-RU" w:bidi="ar-SA"/>
        </w:rPr>
        <w:t>) [8, с. 168].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Власну класифікацію функцій права пропонує І. Ситар. На його думку доцільно поділити функції позитивного права на: науково-пізнавальну, </w:t>
      </w:r>
      <w:proofErr w:type="spellStart"/>
      <w:r>
        <w:rPr>
          <w:kern w:val="0"/>
          <w:lang w:eastAsia="ru-RU" w:bidi="ar-SA"/>
        </w:rPr>
        <w:t>проритетно-формуючу</w:t>
      </w:r>
      <w:proofErr w:type="spellEnd"/>
      <w:r>
        <w:rPr>
          <w:kern w:val="0"/>
          <w:lang w:eastAsia="ru-RU" w:bidi="ar-SA"/>
        </w:rPr>
        <w:t>, енциклопедично-рекомендуючу, владно-профілактичну (попереджувальну, заборонну, імперативну, каральну). Аргументацією даної наукової позиції є те, що вказаний вище поділ функцій права охоплює традиційну класифікацію, а також відображає еволюцію формування правових норм, а дослідження функцій права відбувається в динаміці їх утворення та реалізації [14, с. 69].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Аналіз вказаних вище наукових підходів до класифікації функцій права дає </w:t>
      </w:r>
      <w:r>
        <w:t>можливість</w:t>
      </w:r>
      <w:r>
        <w:rPr>
          <w:kern w:val="0"/>
          <w:lang w:eastAsia="ru-RU" w:bidi="ar-SA"/>
        </w:rPr>
        <w:t xml:space="preserve"> підтримати частково позиці одних науковців, а також не погодитися з деякими поглядами інших.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lastRenderedPageBreak/>
        <w:t>Розгляд досліджуваного поняття змушує відійти від наукової точки зору щодо поділу функцій права на дві групи: загальні та спеціальні без їх взаємозв’язку з системою права. Представники широкого підходу, класифікуючи функції права, виділяють серед спеціально-</w:t>
      </w:r>
      <w:r>
        <w:t>юридичних</w:t>
      </w:r>
      <w:r>
        <w:rPr>
          <w:kern w:val="0"/>
          <w:lang w:eastAsia="ru-RU" w:bidi="ar-SA"/>
        </w:rPr>
        <w:t xml:space="preserve"> регулятивну та охоронну, а перелік загально-соціальних функцій розширюється залежно від власних наукових точок зору різних вчених. Основний аргумент на користь нашої думки полягає у тому, що за вказаної вище позиції науковців функції права розглядаються окремо від системи права, що обмежує об’єктивність у спробі здійснити класифікацію функцій права.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 нашу думку, вказана позиція цілком узгоджується з властивим праву багатостороннім впливом на суспільні відносини. Суспільний вплив права у своїх напрямах, а також мірі впливу не є чітко фіксованим. Ми вважаємо, що варто підтримати позицію науковців щодо постійної динаміки впливу права, а також можливість виникнення нових функцій права у зв’язку з посиленням значення певної сфери суспільного життя на певному етапі розвитку суспільства і держави (Т. Радько) [9, с. 234]. Проте такий ріст кількості функцій права, на нашу думку, не може бути безмежним, так як і не є доцільною їх надмірна деталізація, навіть зважаючи на можливу потребу у посиленому правовому регулюванні певної групи суспільних відносин. Річ у тім, що вказані вище функції права, як правило мають узагальнюючий характер у тому розумінні, що майже кожна із функцій містить у собі 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. На відповідному етапі розвитку держави і суспільства за потреби посилення правового регулювання одні з цих </w:t>
      </w:r>
      <w:proofErr w:type="spellStart"/>
      <w:r>
        <w:rPr>
          <w:kern w:val="0"/>
          <w:lang w:eastAsia="ru-RU" w:bidi="ar-SA"/>
        </w:rPr>
        <w:t>підфункцій</w:t>
      </w:r>
      <w:proofErr w:type="spellEnd"/>
      <w:r>
        <w:rPr>
          <w:kern w:val="0"/>
          <w:lang w:eastAsia="ru-RU" w:bidi="ar-SA"/>
        </w:rPr>
        <w:t xml:space="preserve"> проявляються чіткіше, а інші залишаються менш проявленими.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Дана позиція дає змогу звернути увагу на наявність серед відомих на сьогодні </w:t>
      </w:r>
      <w:proofErr w:type="spellStart"/>
      <w:r>
        <w:rPr>
          <w:kern w:val="0"/>
          <w:lang w:eastAsia="ru-RU" w:bidi="ar-SA"/>
        </w:rPr>
        <w:t>підфункцій</w:t>
      </w:r>
      <w:proofErr w:type="spellEnd"/>
      <w:r>
        <w:rPr>
          <w:kern w:val="0"/>
          <w:lang w:eastAsia="ru-RU" w:bidi="ar-SA"/>
        </w:rPr>
        <w:t xml:space="preserve"> права тих, яких потребують реалії нашого сьогодення, проте при цьому не виокремлюючи їх у самостійні функції, а також не вводячи в науковий обіг нові. Надмірне завантаження розуміння класифікації функцій права їх кількістю та новими назвами не вирішить питання їх класифікації, а навпаки створить уявлення про них як про безсистемне утворення. На нашу думку, немає необхідності занадто деталізувати наявні функції права шляхом виокремлення з їх змісту </w:t>
      </w:r>
      <w:proofErr w:type="spellStart"/>
      <w:r>
        <w:rPr>
          <w:kern w:val="0"/>
          <w:lang w:eastAsia="ru-RU" w:bidi="ar-SA"/>
        </w:rPr>
        <w:t>підфункцій</w:t>
      </w:r>
      <w:proofErr w:type="spellEnd"/>
      <w:r>
        <w:rPr>
          <w:kern w:val="0"/>
          <w:lang w:eastAsia="ru-RU" w:bidi="ar-SA"/>
        </w:rPr>
        <w:t xml:space="preserve"> у самостійні функції з метою створити більш доступну для розуміння їх систему. Класифікація функцій права має бути простою для сприйняття та розуміння, що не позбавляє, на нашу </w:t>
      </w:r>
      <w:r>
        <w:rPr>
          <w:kern w:val="0"/>
          <w:lang w:eastAsia="ru-RU" w:bidi="ar-SA"/>
        </w:rPr>
        <w:lastRenderedPageBreak/>
        <w:t xml:space="preserve">думку, можливості розглядати та подавати дану класифікацію у межах кількох площин. Така позиція узгоджується з науковим поглядом І. </w:t>
      </w:r>
      <w:proofErr w:type="spellStart"/>
      <w:r>
        <w:rPr>
          <w:kern w:val="0"/>
          <w:lang w:eastAsia="ru-RU" w:bidi="ar-SA"/>
        </w:rPr>
        <w:t>Казьміна</w:t>
      </w:r>
      <w:proofErr w:type="spellEnd"/>
      <w:r>
        <w:rPr>
          <w:kern w:val="0"/>
          <w:lang w:eastAsia="ru-RU" w:bidi="ar-SA"/>
        </w:rPr>
        <w:t xml:space="preserve">, який пропонує у якості функцій права виділяти лише найбільші та найважливіші напрями його впливу. Цей підхід представляє собою наукову цінність у тому, що функції права відрізняються між собою достатньо </w:t>
      </w:r>
      <w:proofErr w:type="spellStart"/>
      <w:r>
        <w:rPr>
          <w:kern w:val="0"/>
          <w:lang w:eastAsia="ru-RU" w:bidi="ar-SA"/>
        </w:rPr>
        <w:t>вирізненими</w:t>
      </w:r>
      <w:proofErr w:type="spellEnd"/>
      <w:r>
        <w:rPr>
          <w:kern w:val="0"/>
          <w:lang w:eastAsia="ru-RU" w:bidi="ar-SA"/>
        </w:rPr>
        <w:t xml:space="preserve"> власними цілями, способами їх досягнення та сферами реалізації. Крім того, дуже важливо для функцій права, щоб вони були властиві всьому праву в цілому, мали міжгалузевий характер [15, с. 64].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 нашу думку, варто погодитися з науковою думкою про те, що система функцій права є складним, багаторівневим утворенням та безпосередньо пов’язана з системою права (Т. Радько) [9, с. 230]. Проте вказана вище складність досліджуваної системи, на нашу думку, не повинна зводитися до збільшення кількості функцій права, а є підставою для розгляду властивих праву функцій як системи, яка складається з кількох рівнів. Функції права – це саме ті напрями його впливу, які властиві йому в цілому, а не окремим його складовим. На нашу думку, не варто погоджуватися з представниками наукового підходу, про існуючу залежність кількості самостійних функцій права від складових його системи. Галузь, підгалузь, інститут, норма права є елементами системи права. Тобто функції права в цілому поширюють свою дію на всі елементи його складових. Інша річ уже у тому, що певна галузь права зважаючи на її специфіку може певну функцію права використовувати в більшій мірі, а іншу в меншій. Проте даний факт не є підставою для того, щоб виокремлювати 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 права у нові функції лише на тій основі, що певним галузям права така функція не властива на певному етапі розвитку держави і суспільства.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Ми вважаємо, що доцільно розглядати систему функцій права виходячи з їх поділу залежно від власне правого впливу права та соціального його впливу, так як об’єктивно право здійснює ці дві групи функцій. </w:t>
      </w:r>
      <w:r>
        <w:t>Проте</w:t>
      </w:r>
      <w:r>
        <w:rPr>
          <w:kern w:val="0"/>
          <w:lang w:eastAsia="ru-RU" w:bidi="ar-SA"/>
        </w:rPr>
        <w:t xml:space="preserve"> вказані групи функцій права мають завжди розглядатися у взаємозв’язку з його системою. Функції права можуть проявлятися на рівні всієї системи права в цілому, або ж на рівні її складових: галузей, підгалузей, інститутів, норм, або ж можуть мати міжгалузевий характер вияву. Тобто функції права варто розглядати як систему, яка складається з двох великих груп, які можуть проявлятися на рівні елементів системи права.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На нашу думку, доцільно подати класифікацію функцій права, </w:t>
      </w:r>
      <w:r>
        <w:rPr>
          <w:kern w:val="0"/>
          <w:lang w:eastAsia="ru-RU" w:bidi="ar-SA"/>
        </w:rPr>
        <w:lastRenderedPageBreak/>
        <w:t xml:space="preserve">погодившись частково з представниками першого підходу, поділивши їх на загально-соціальні та спеціально-юридичні. Проте до загально-соціальних функцій, на наш погляд, доцільно віднести: інформаційну, </w:t>
      </w:r>
      <w:proofErr w:type="spellStart"/>
      <w:r>
        <w:rPr>
          <w:kern w:val="0"/>
          <w:lang w:eastAsia="ru-RU" w:bidi="ar-SA"/>
        </w:rPr>
        <w:t>оціночно-орієнтаційну</w:t>
      </w:r>
      <w:proofErr w:type="spellEnd"/>
      <w:r>
        <w:rPr>
          <w:kern w:val="0"/>
          <w:lang w:eastAsia="ru-RU" w:bidi="ar-SA"/>
        </w:rPr>
        <w:t>, гносеологічну, виховну, політичну, економічну (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: екологічну, соціальну). До спеціально-юридичних функцій права, на нашу думку, необхідним віднести: регулятивну та охоронну. До охоронної функції права пропонуємо включити 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: каральну, </w:t>
      </w:r>
      <w:r>
        <w:t>компенсаційну</w:t>
      </w:r>
      <w:r>
        <w:rPr>
          <w:kern w:val="0"/>
          <w:lang w:eastAsia="ru-RU" w:bidi="ar-SA"/>
        </w:rPr>
        <w:t xml:space="preserve">, </w:t>
      </w:r>
      <w:proofErr w:type="spellStart"/>
      <w:r>
        <w:rPr>
          <w:kern w:val="0"/>
          <w:lang w:eastAsia="ru-RU" w:bidi="ar-SA"/>
        </w:rPr>
        <w:t>відновлюючу</w:t>
      </w:r>
      <w:proofErr w:type="spellEnd"/>
      <w:r>
        <w:rPr>
          <w:kern w:val="0"/>
          <w:lang w:eastAsia="ru-RU" w:bidi="ar-SA"/>
        </w:rPr>
        <w:t>, профілактичну, контрольну. Крім того, варто мати на увазі, що вказані функції можуть проявлятися на рівні всіх елементів системи права у більшій чи меншій мірі залежно від потреб складових системи права (окремих галузей, наприклад), а також від потреб у посиленні правового регулювання тієї чи іншої сфери життя суспільства та певному етапі його розвитку.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Отже, розглянувши поняття та класифікацію функцій права </w:t>
      </w:r>
      <w:r>
        <w:t>приходимо</w:t>
      </w:r>
      <w:r>
        <w:rPr>
          <w:kern w:val="0"/>
          <w:lang w:eastAsia="ru-RU" w:bidi="ar-SA"/>
        </w:rPr>
        <w:t xml:space="preserve"> до таких висновків.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>Функціями права є соціальне призначення права, а також головні напрями його впливу на суспільні відносини.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>Класифікацію функції права варто розглядати як систему, яка складається з двох груп: загально-соціальних та спеціально-юридичних, які можуть проявлятися на рівні системи права в цілому, а також її елементів: галузі, підгалузі, інституту, норми права або ж можуть мати міжгалузевий характер вияву.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Загально-соціальними функціями права є: інформаційна, </w:t>
      </w:r>
      <w:proofErr w:type="spellStart"/>
      <w:r>
        <w:rPr>
          <w:kern w:val="0"/>
          <w:lang w:eastAsia="ru-RU" w:bidi="ar-SA"/>
        </w:rPr>
        <w:t>оціночно-орієнтаційна</w:t>
      </w:r>
      <w:proofErr w:type="spellEnd"/>
      <w:r>
        <w:rPr>
          <w:kern w:val="0"/>
          <w:lang w:eastAsia="ru-RU" w:bidi="ar-SA"/>
        </w:rPr>
        <w:t>, гносеологічна, виховна, політична, економічна (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>: екологічна, соціальна).</w:t>
      </w:r>
    </w:p>
    <w:p w:rsidR="00713DB8" w:rsidRDefault="00713DB8" w:rsidP="00713DB8">
      <w:pPr>
        <w:widowControl w:val="0"/>
        <w:ind w:firstLine="510"/>
        <w:rPr>
          <w:kern w:val="0"/>
          <w:lang w:eastAsia="ru-RU" w:bidi="ar-SA"/>
        </w:rPr>
      </w:pPr>
      <w:r>
        <w:rPr>
          <w:kern w:val="0"/>
          <w:lang w:eastAsia="ru-RU" w:bidi="ar-SA"/>
        </w:rPr>
        <w:t xml:space="preserve">Спеціально-юридичними функціями права є: регулятивна та охоронна. Охоронна функція права включає в себе </w:t>
      </w:r>
      <w:proofErr w:type="spellStart"/>
      <w:r>
        <w:rPr>
          <w:kern w:val="0"/>
          <w:lang w:eastAsia="ru-RU" w:bidi="ar-SA"/>
        </w:rPr>
        <w:t>підфункції</w:t>
      </w:r>
      <w:proofErr w:type="spellEnd"/>
      <w:r>
        <w:rPr>
          <w:kern w:val="0"/>
          <w:lang w:eastAsia="ru-RU" w:bidi="ar-SA"/>
        </w:rPr>
        <w:t xml:space="preserve">: каральну, компенсаційну, </w:t>
      </w:r>
      <w:proofErr w:type="spellStart"/>
      <w:r>
        <w:rPr>
          <w:kern w:val="0"/>
          <w:lang w:eastAsia="ru-RU" w:bidi="ar-SA"/>
        </w:rPr>
        <w:t>відновлюючу</w:t>
      </w:r>
      <w:proofErr w:type="spellEnd"/>
      <w:r>
        <w:rPr>
          <w:kern w:val="0"/>
          <w:lang w:eastAsia="ru-RU" w:bidi="ar-SA"/>
        </w:rPr>
        <w:t>, профілактичну, контрольну.</w:t>
      </w:r>
    </w:p>
    <w:p w:rsidR="00713DB8" w:rsidRDefault="00713DB8" w:rsidP="00713DB8">
      <w:pPr>
        <w:pStyle w:val="a3"/>
        <w:rPr>
          <w:kern w:val="0"/>
          <w:lang w:eastAsia="ru-RU" w:bidi="ar-SA"/>
        </w:rPr>
      </w:pPr>
      <w:r>
        <w:rPr>
          <w:kern w:val="0"/>
          <w:lang w:eastAsia="ru-RU" w:bidi="ar-SA"/>
        </w:rPr>
        <w:t>Література</w:t>
      </w:r>
    </w:p>
    <w:p w:rsidR="00713DB8" w:rsidRDefault="00713DB8" w:rsidP="00713DB8">
      <w:pPr>
        <w:pStyle w:val="a5"/>
      </w:pPr>
      <w:r>
        <w:t xml:space="preserve">1. Иоффе О. </w:t>
      </w:r>
      <w:proofErr w:type="spellStart"/>
      <w:r>
        <w:t>С. Вопр</w:t>
      </w:r>
      <w:proofErr w:type="spellEnd"/>
      <w:r>
        <w:t xml:space="preserve">осы </w:t>
      </w:r>
      <w:proofErr w:type="spellStart"/>
      <w:r>
        <w:t>теории</w:t>
      </w:r>
      <w:proofErr w:type="spellEnd"/>
      <w:r>
        <w:t xml:space="preserve"> права / О. </w:t>
      </w:r>
      <w:proofErr w:type="spellStart"/>
      <w:r>
        <w:t>С. Ио</w:t>
      </w:r>
      <w:proofErr w:type="spellEnd"/>
      <w:r>
        <w:t xml:space="preserve">ффе, М. Д. </w:t>
      </w:r>
      <w:proofErr w:type="spellStart"/>
      <w:r>
        <w:t>Шаргородский</w:t>
      </w:r>
      <w:proofErr w:type="spellEnd"/>
      <w:r>
        <w:t>. – М., 1961. – 390 с.</w:t>
      </w:r>
    </w:p>
    <w:p w:rsidR="00713DB8" w:rsidRDefault="00713DB8" w:rsidP="00713DB8">
      <w:pPr>
        <w:pStyle w:val="a5"/>
      </w:pPr>
      <w:r>
        <w:t xml:space="preserve">2. Радько Т. Н. </w:t>
      </w:r>
      <w:proofErr w:type="spellStart"/>
      <w:r>
        <w:t>Основные</w:t>
      </w:r>
      <w:proofErr w:type="spellEnd"/>
      <w:r>
        <w:t xml:space="preserve"> </w:t>
      </w:r>
      <w:proofErr w:type="spellStart"/>
      <w:r>
        <w:t>функции</w:t>
      </w:r>
      <w:proofErr w:type="spellEnd"/>
      <w:r>
        <w:t xml:space="preserve"> </w:t>
      </w:r>
      <w:proofErr w:type="spellStart"/>
      <w:r>
        <w:t>социалистического</w:t>
      </w:r>
      <w:proofErr w:type="spellEnd"/>
      <w:r>
        <w:t xml:space="preserve"> права: </w:t>
      </w:r>
      <w:proofErr w:type="spellStart"/>
      <w:r>
        <w:t>учеб</w:t>
      </w:r>
      <w:proofErr w:type="spellEnd"/>
      <w:r>
        <w:t>. пособ. / Т. Н. Радько. – Волгоград, 1970. – 143 с.</w:t>
      </w:r>
    </w:p>
    <w:p w:rsidR="00713DB8" w:rsidRDefault="00713DB8" w:rsidP="00713DB8">
      <w:pPr>
        <w:pStyle w:val="a5"/>
      </w:pPr>
      <w:r>
        <w:t xml:space="preserve">3. Теория </w:t>
      </w:r>
      <w:proofErr w:type="spellStart"/>
      <w:r>
        <w:t>государства</w:t>
      </w:r>
      <w:proofErr w:type="spellEnd"/>
      <w:r>
        <w:t xml:space="preserve"> и права: курс </w:t>
      </w:r>
      <w:proofErr w:type="spellStart"/>
      <w:r>
        <w:t>лекций</w:t>
      </w:r>
      <w:proofErr w:type="spellEnd"/>
      <w:r>
        <w:t xml:space="preserve"> / ред. Н. И. </w:t>
      </w:r>
      <w:proofErr w:type="spellStart"/>
      <w:r>
        <w:t>Матузов</w:t>
      </w:r>
      <w:proofErr w:type="spellEnd"/>
      <w:r>
        <w:t xml:space="preserve"> и </w:t>
      </w:r>
      <w:proofErr w:type="spellStart"/>
      <w:r>
        <w:t>А. В. Мал</w:t>
      </w:r>
      <w:proofErr w:type="spellEnd"/>
      <w:r>
        <w:t xml:space="preserve">ько. – М.: </w:t>
      </w:r>
      <w:proofErr w:type="spellStart"/>
      <w:r>
        <w:t>Юристъ</w:t>
      </w:r>
      <w:proofErr w:type="spellEnd"/>
      <w:r>
        <w:t>, 1997. – 672 с.</w:t>
      </w:r>
    </w:p>
    <w:p w:rsidR="00713DB8" w:rsidRDefault="00713DB8" w:rsidP="00713DB8">
      <w:pPr>
        <w:pStyle w:val="a5"/>
      </w:pPr>
      <w:r>
        <w:t xml:space="preserve">4. Алексеев С. С. </w:t>
      </w:r>
      <w:proofErr w:type="spellStart"/>
      <w:r>
        <w:t>Общая</w:t>
      </w:r>
      <w:proofErr w:type="spellEnd"/>
      <w:r>
        <w:t xml:space="preserve"> </w:t>
      </w:r>
      <w:proofErr w:type="spellStart"/>
      <w:r>
        <w:t>теория</w:t>
      </w:r>
      <w:proofErr w:type="spellEnd"/>
      <w:r>
        <w:t xml:space="preserve"> права: в 2-х т. Т. I. / С. С. </w:t>
      </w:r>
      <w:proofErr w:type="spellStart"/>
      <w:r>
        <w:t>Алексеев</w:t>
      </w:r>
      <w:proofErr w:type="spellEnd"/>
      <w:r>
        <w:t xml:space="preserve">. – М.: </w:t>
      </w:r>
      <w:proofErr w:type="spellStart"/>
      <w:r>
        <w:t>Юридическая</w:t>
      </w:r>
      <w:proofErr w:type="spellEnd"/>
      <w:r>
        <w:t xml:space="preserve"> </w:t>
      </w:r>
      <w:proofErr w:type="spellStart"/>
      <w:r>
        <w:t>литература</w:t>
      </w:r>
      <w:proofErr w:type="spellEnd"/>
      <w:r>
        <w:t>, 1981. – 361 с.</w:t>
      </w:r>
    </w:p>
    <w:p w:rsidR="00713DB8" w:rsidRDefault="00713DB8" w:rsidP="00713DB8">
      <w:pPr>
        <w:pStyle w:val="a5"/>
      </w:pPr>
      <w:r>
        <w:t xml:space="preserve">5. Общая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права: </w:t>
      </w:r>
      <w:proofErr w:type="spellStart"/>
      <w:r>
        <w:t>учебник</w:t>
      </w:r>
      <w:proofErr w:type="spellEnd"/>
      <w:r>
        <w:t xml:space="preserve"> / ред. В. В. </w:t>
      </w:r>
      <w:proofErr w:type="spellStart"/>
      <w:r>
        <w:t>Лазарев</w:t>
      </w:r>
      <w:proofErr w:type="spellEnd"/>
      <w:r>
        <w:t xml:space="preserve">. – М.: </w:t>
      </w:r>
      <w:proofErr w:type="spellStart"/>
      <w:r>
        <w:lastRenderedPageBreak/>
        <w:t>Юристь</w:t>
      </w:r>
      <w:proofErr w:type="spellEnd"/>
      <w:r>
        <w:t>, 1996. – 465 с.</w:t>
      </w:r>
    </w:p>
    <w:p w:rsidR="00713DB8" w:rsidRDefault="00713DB8" w:rsidP="00713DB8">
      <w:pPr>
        <w:pStyle w:val="a5"/>
      </w:pPr>
      <w:r>
        <w:t xml:space="preserve">6. Скакун О. Ф. Теорія держави і права: підручник / О. Ф. Скакун. – Харків: </w:t>
      </w:r>
      <w:proofErr w:type="spellStart"/>
      <w:r>
        <w:t>Консум</w:t>
      </w:r>
      <w:proofErr w:type="spellEnd"/>
      <w:r>
        <w:t>, 2001. – 656 с.</w:t>
      </w:r>
    </w:p>
    <w:p w:rsidR="00713DB8" w:rsidRDefault="00713DB8" w:rsidP="00713DB8">
      <w:pPr>
        <w:pStyle w:val="a5"/>
      </w:pPr>
      <w:r>
        <w:t>7. Ковальський В. Функції права: поняття, джерела, динаміка / В. Ковальський // Теорія і практика інтелектуальної власності. – 2009. – № 2. – С. 3-10.</w:t>
      </w:r>
    </w:p>
    <w:p w:rsidR="00713DB8" w:rsidRDefault="00713DB8" w:rsidP="00713DB8">
      <w:pPr>
        <w:pStyle w:val="a5"/>
      </w:pPr>
      <w:r>
        <w:t xml:space="preserve">8. Байтин М. И. </w:t>
      </w:r>
      <w:proofErr w:type="spellStart"/>
      <w:r>
        <w:t>Сущность</w:t>
      </w:r>
      <w:proofErr w:type="spellEnd"/>
      <w:r>
        <w:t xml:space="preserve"> права (</w:t>
      </w:r>
      <w:proofErr w:type="spellStart"/>
      <w:r>
        <w:t>Современное</w:t>
      </w:r>
      <w:proofErr w:type="spellEnd"/>
      <w:r>
        <w:t xml:space="preserve"> </w:t>
      </w:r>
      <w:proofErr w:type="spellStart"/>
      <w:r>
        <w:t>нормативное</w:t>
      </w:r>
      <w:proofErr w:type="spellEnd"/>
      <w:r>
        <w:t xml:space="preserve"> </w:t>
      </w:r>
      <w:proofErr w:type="spellStart"/>
      <w:r>
        <w:t>правопонимание</w:t>
      </w:r>
      <w:proofErr w:type="spellEnd"/>
      <w:r>
        <w:t xml:space="preserve"> на грани </w:t>
      </w:r>
      <w:proofErr w:type="spellStart"/>
      <w:r>
        <w:t>двух</w:t>
      </w:r>
      <w:proofErr w:type="spellEnd"/>
      <w:r>
        <w:t xml:space="preserve"> </w:t>
      </w:r>
      <w:proofErr w:type="spellStart"/>
      <w:r>
        <w:t>веков</w:t>
      </w:r>
      <w:proofErr w:type="spellEnd"/>
      <w:r>
        <w:t xml:space="preserve">) / М. И. </w:t>
      </w:r>
      <w:proofErr w:type="spellStart"/>
      <w:r>
        <w:t>Байтин</w:t>
      </w:r>
      <w:proofErr w:type="spellEnd"/>
      <w:r>
        <w:t xml:space="preserve">. – 2-е </w:t>
      </w:r>
      <w:proofErr w:type="spellStart"/>
      <w:r>
        <w:t>изд</w:t>
      </w:r>
      <w:proofErr w:type="spellEnd"/>
      <w:r>
        <w:t xml:space="preserve">. </w:t>
      </w:r>
      <w:proofErr w:type="spellStart"/>
      <w:r>
        <w:t>доп</w:t>
      </w:r>
      <w:proofErr w:type="spellEnd"/>
      <w:r>
        <w:t xml:space="preserve">. – М.: ООО ИД </w:t>
      </w:r>
      <w:proofErr w:type="spellStart"/>
      <w:r>
        <w:t>„Право</w:t>
      </w:r>
      <w:proofErr w:type="spellEnd"/>
      <w:r>
        <w:t xml:space="preserve"> и </w:t>
      </w:r>
      <w:proofErr w:type="spellStart"/>
      <w:r>
        <w:t>государство</w:t>
      </w:r>
      <w:proofErr w:type="spellEnd"/>
      <w:r>
        <w:t>”, 2005. – 544 с.</w:t>
      </w:r>
    </w:p>
    <w:p w:rsidR="00713DB8" w:rsidRDefault="00713DB8" w:rsidP="00713DB8">
      <w:pPr>
        <w:pStyle w:val="a5"/>
      </w:pPr>
      <w:r>
        <w:t xml:space="preserve">9. Радько Т. Н. </w:t>
      </w:r>
      <w:proofErr w:type="spellStart"/>
      <w:r>
        <w:t>Теория</w:t>
      </w:r>
      <w:proofErr w:type="spellEnd"/>
      <w:r>
        <w:t xml:space="preserve"> </w:t>
      </w:r>
      <w:proofErr w:type="spellStart"/>
      <w:r>
        <w:t>государства</w:t>
      </w:r>
      <w:proofErr w:type="spellEnd"/>
      <w:r>
        <w:t xml:space="preserve"> и права: </w:t>
      </w:r>
      <w:proofErr w:type="spellStart"/>
      <w:r>
        <w:t>учебник</w:t>
      </w:r>
      <w:proofErr w:type="spellEnd"/>
      <w:r>
        <w:t xml:space="preserve"> для </w:t>
      </w:r>
      <w:proofErr w:type="spellStart"/>
      <w:r>
        <w:t>вузов</w:t>
      </w:r>
      <w:proofErr w:type="spellEnd"/>
      <w:r>
        <w:t xml:space="preserve"> / </w:t>
      </w:r>
      <w:proofErr w:type="spellStart"/>
      <w:r>
        <w:t>Т. Н. Радько</w:t>
      </w:r>
      <w:proofErr w:type="spellEnd"/>
      <w:r>
        <w:t>. – М.: ЮНИТИ-ДАНА, Закон и право, 2004. – 576 с.</w:t>
      </w:r>
    </w:p>
    <w:p w:rsidR="00713DB8" w:rsidRDefault="00713DB8" w:rsidP="00713DB8">
      <w:pPr>
        <w:pStyle w:val="a5"/>
      </w:pPr>
      <w:r>
        <w:t xml:space="preserve">10. Ткаченко Ю. Г. </w:t>
      </w:r>
      <w:proofErr w:type="spellStart"/>
      <w:r>
        <w:t>Методологические</w:t>
      </w:r>
      <w:proofErr w:type="spellEnd"/>
      <w:r>
        <w:t xml:space="preserve"> </w:t>
      </w:r>
      <w:proofErr w:type="spellStart"/>
      <w:r>
        <w:t>вопросы</w:t>
      </w:r>
      <w:proofErr w:type="spellEnd"/>
      <w:r>
        <w:t xml:space="preserve"> </w:t>
      </w:r>
      <w:proofErr w:type="spellStart"/>
      <w:r>
        <w:t>теории</w:t>
      </w:r>
      <w:proofErr w:type="spellEnd"/>
      <w:r>
        <w:t xml:space="preserve"> </w:t>
      </w:r>
      <w:proofErr w:type="spellStart"/>
      <w:r>
        <w:t>правоотношений</w:t>
      </w:r>
      <w:proofErr w:type="spellEnd"/>
      <w:r>
        <w:t> / Ю. Г. Ткаченко. – М., 1980. – 176 с.</w:t>
      </w:r>
    </w:p>
    <w:p w:rsidR="00713DB8" w:rsidRDefault="00713DB8" w:rsidP="00713DB8">
      <w:pPr>
        <w:pStyle w:val="a5"/>
      </w:pPr>
      <w:r>
        <w:t xml:space="preserve">11. Ситар І. М. Онтологічні функції права : автореф. дис. ... канд. </w:t>
      </w:r>
      <w:proofErr w:type="spellStart"/>
      <w:r>
        <w:t>юрид</w:t>
      </w:r>
      <w:proofErr w:type="spellEnd"/>
      <w:r>
        <w:t>. наук : 12.00.12 / І. М. Ситар. – Львів, 2008. – 16 c.</w:t>
      </w:r>
    </w:p>
    <w:p w:rsidR="00713DB8" w:rsidRDefault="00713DB8" w:rsidP="00713DB8">
      <w:pPr>
        <w:pStyle w:val="a5"/>
      </w:pPr>
      <w:r>
        <w:t xml:space="preserve">12. Андрусяк Т. Г. Теорія держави і права / Т. Г. </w:t>
      </w:r>
      <w:proofErr w:type="spellStart"/>
      <w:r>
        <w:t>Андрусяк</w:t>
      </w:r>
      <w:proofErr w:type="spellEnd"/>
      <w:r>
        <w:t xml:space="preserve">. – Львів: Фонд </w:t>
      </w:r>
      <w:proofErr w:type="spellStart"/>
      <w:r>
        <w:t>„Право</w:t>
      </w:r>
      <w:proofErr w:type="spellEnd"/>
      <w:r>
        <w:t xml:space="preserve"> України”, 1997. –197 с.</w:t>
      </w:r>
    </w:p>
    <w:p w:rsidR="00713DB8" w:rsidRDefault="00713DB8" w:rsidP="00713DB8">
      <w:pPr>
        <w:pStyle w:val="a5"/>
      </w:pPr>
      <w:r>
        <w:t xml:space="preserve">13. Правозавство: підручник / С. Е. </w:t>
      </w:r>
      <w:proofErr w:type="spellStart"/>
      <w:r>
        <w:t>Демський</w:t>
      </w:r>
      <w:proofErr w:type="spellEnd"/>
      <w:r>
        <w:t xml:space="preserve">, В. С. Ковальський, </w:t>
      </w:r>
      <w:proofErr w:type="spellStart"/>
      <w:r>
        <w:t>А. М. Коло</w:t>
      </w:r>
      <w:proofErr w:type="spellEnd"/>
      <w:r>
        <w:t xml:space="preserve">дій [та ін.] ; ред. В. В. </w:t>
      </w:r>
      <w:proofErr w:type="spellStart"/>
      <w:r>
        <w:t>Копєйчиков</w:t>
      </w:r>
      <w:proofErr w:type="spellEnd"/>
      <w:r>
        <w:t xml:space="preserve">. – 7-е вид., стер. – К.: </w:t>
      </w:r>
      <w:proofErr w:type="spellStart"/>
      <w:r>
        <w:t>Юрінком</w:t>
      </w:r>
      <w:proofErr w:type="spellEnd"/>
      <w:r>
        <w:t xml:space="preserve"> Інтер, 2003. – 736 с.</w:t>
      </w:r>
    </w:p>
    <w:p w:rsidR="00713DB8" w:rsidRDefault="00713DB8" w:rsidP="00713DB8">
      <w:pPr>
        <w:pStyle w:val="a5"/>
      </w:pPr>
      <w:r>
        <w:t>14. Ситар І. М. Онтологічні функції права: монографія / І. М. Ситар. – Львів: Львівський державний університет внутрішніх справ, 2009. – 240 с.</w:t>
      </w:r>
    </w:p>
    <w:p w:rsidR="00713DB8" w:rsidRDefault="00713DB8" w:rsidP="00713DB8">
      <w:pPr>
        <w:pStyle w:val="a5"/>
      </w:pPr>
      <w:r>
        <w:t xml:space="preserve">15. Казьмин И. Ф. </w:t>
      </w:r>
      <w:proofErr w:type="spellStart"/>
      <w:r>
        <w:t>Общие</w:t>
      </w:r>
      <w:proofErr w:type="spellEnd"/>
      <w:r>
        <w:t xml:space="preserve"> </w:t>
      </w:r>
      <w:proofErr w:type="spellStart"/>
      <w:r>
        <w:t>проблемы</w:t>
      </w:r>
      <w:proofErr w:type="spellEnd"/>
      <w:r>
        <w:t xml:space="preserve"> права в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научно-технического</w:t>
      </w:r>
      <w:proofErr w:type="spellEnd"/>
      <w:r>
        <w:t xml:space="preserve"> </w:t>
      </w:r>
      <w:proofErr w:type="spellStart"/>
      <w:r>
        <w:t>прогреса</w:t>
      </w:r>
      <w:proofErr w:type="spellEnd"/>
      <w:r>
        <w:t xml:space="preserve"> / И. Ф. </w:t>
      </w:r>
      <w:proofErr w:type="spellStart"/>
      <w:r>
        <w:t>Казьмин</w:t>
      </w:r>
      <w:proofErr w:type="spellEnd"/>
      <w:r>
        <w:t>. – М., 1986. – 191 с.</w:t>
      </w:r>
    </w:p>
    <w:p w:rsidR="00CF4D47" w:rsidRDefault="00CF4D47" w:rsidP="00713DB8"/>
    <w:sectPr w:rsidR="00CF4D47" w:rsidSect="00713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6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CDB" w:rsidRDefault="00DA3CDB" w:rsidP="00713DB8">
      <w:r>
        <w:separator/>
      </w:r>
    </w:p>
  </w:endnote>
  <w:endnote w:type="continuationSeparator" w:id="0">
    <w:p w:rsidR="00DA3CDB" w:rsidRDefault="00DA3CDB" w:rsidP="007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8" w:rsidRDefault="00713DB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5433594"/>
      <w:docPartObj>
        <w:docPartGallery w:val="Page Numbers (Bottom of Page)"/>
        <w:docPartUnique/>
      </w:docPartObj>
    </w:sdtPr>
    <w:sdtContent>
      <w:bookmarkStart w:id="2" w:name="_GoBack" w:displacedByCustomXml="prev"/>
      <w:bookmarkEnd w:id="2" w:displacedByCustomXml="prev"/>
      <w:p w:rsidR="00713DB8" w:rsidRDefault="00713D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3DB8">
          <w:rPr>
            <w:noProof/>
            <w:lang w:val="ru-RU"/>
          </w:rPr>
          <w:t>69</w:t>
        </w:r>
        <w:r>
          <w:fldChar w:fldCharType="end"/>
        </w:r>
      </w:p>
    </w:sdtContent>
  </w:sdt>
  <w:p w:rsidR="00713DB8" w:rsidRDefault="00713DB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8" w:rsidRDefault="00713D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CDB" w:rsidRDefault="00DA3CDB" w:rsidP="00713DB8">
      <w:r>
        <w:separator/>
      </w:r>
    </w:p>
  </w:footnote>
  <w:footnote w:type="continuationSeparator" w:id="0">
    <w:p w:rsidR="00DA3CDB" w:rsidRDefault="00DA3CDB" w:rsidP="00713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8" w:rsidRDefault="00713DB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8" w:rsidRDefault="00713DB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B8" w:rsidRDefault="00713D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14"/>
    <w:rsid w:val="00196AE4"/>
    <w:rsid w:val="00504A14"/>
    <w:rsid w:val="00713DB8"/>
    <w:rsid w:val="00CF4D47"/>
    <w:rsid w:val="00DA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8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13DB8"/>
    <w:pPr>
      <w:keepNext/>
      <w:numPr>
        <w:ilvl w:val="1"/>
        <w:numId w:val="2"/>
      </w:numPr>
      <w:tabs>
        <w:tab w:val="left" w:pos="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713DB8"/>
    <w:pPr>
      <w:keepNext/>
      <w:numPr>
        <w:ilvl w:val="2"/>
        <w:numId w:val="2"/>
      </w:numPr>
      <w:tabs>
        <w:tab w:val="left" w:pos="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3DB8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713DB8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713DB8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713DB8"/>
    <w:pPr>
      <w:jc w:val="right"/>
    </w:pPr>
    <w:rPr>
      <w:i/>
    </w:rPr>
  </w:style>
  <w:style w:type="paragraph" w:customStyle="1" w:styleId="a5">
    <w:name w:val="літ осн"/>
    <w:basedOn w:val="a"/>
    <w:rsid w:val="00713DB8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13DB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713DB8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713DB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713DB8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DB8"/>
    <w:pPr>
      <w:suppressAutoHyphens/>
      <w:spacing w:after="0" w:line="240" w:lineRule="auto"/>
      <w:jc w:val="both"/>
    </w:pPr>
    <w:rPr>
      <w:rFonts w:ascii="Cambria" w:eastAsia="DejaVu Sans" w:hAnsi="Cambria" w:cs="DejaVu Sans"/>
      <w:kern w:val="2"/>
      <w:sz w:val="30"/>
      <w:szCs w:val="24"/>
      <w:lang w:val="uk-UA" w:eastAsia="hi-IN" w:bidi="hi-IN"/>
    </w:rPr>
  </w:style>
  <w:style w:type="paragraph" w:styleId="2">
    <w:name w:val="heading 2"/>
    <w:basedOn w:val="a"/>
    <w:next w:val="a"/>
    <w:link w:val="20"/>
    <w:semiHidden/>
    <w:unhideWhenUsed/>
    <w:qFormat/>
    <w:rsid w:val="00713DB8"/>
    <w:pPr>
      <w:keepNext/>
      <w:numPr>
        <w:ilvl w:val="1"/>
        <w:numId w:val="2"/>
      </w:numPr>
      <w:tabs>
        <w:tab w:val="left" w:pos="0"/>
      </w:tabs>
      <w:jc w:val="right"/>
      <w:outlineLvl w:val="1"/>
    </w:pPr>
    <w:rPr>
      <w:b/>
      <w:i/>
    </w:rPr>
  </w:style>
  <w:style w:type="paragraph" w:styleId="3">
    <w:name w:val="heading 3"/>
    <w:basedOn w:val="a"/>
    <w:next w:val="a"/>
    <w:link w:val="30"/>
    <w:semiHidden/>
    <w:unhideWhenUsed/>
    <w:qFormat/>
    <w:rsid w:val="00713DB8"/>
    <w:pPr>
      <w:keepNext/>
      <w:numPr>
        <w:ilvl w:val="2"/>
        <w:numId w:val="2"/>
      </w:numPr>
      <w:tabs>
        <w:tab w:val="left" w:pos="0"/>
      </w:tabs>
      <w:spacing w:before="320"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13DB8"/>
    <w:rPr>
      <w:rFonts w:ascii="Cambria" w:eastAsia="DejaVu Sans" w:hAnsi="Cambria" w:cs="DejaVu Sans"/>
      <w:b/>
      <w:i/>
      <w:kern w:val="2"/>
      <w:sz w:val="30"/>
      <w:szCs w:val="24"/>
      <w:lang w:val="uk-UA" w:eastAsia="hi-IN" w:bidi="hi-IN"/>
    </w:rPr>
  </w:style>
  <w:style w:type="character" w:customStyle="1" w:styleId="30">
    <w:name w:val="Заголовок 3 Знак"/>
    <w:basedOn w:val="a0"/>
    <w:link w:val="3"/>
    <w:semiHidden/>
    <w:rsid w:val="00713DB8"/>
    <w:rPr>
      <w:rFonts w:ascii="Cambria" w:eastAsia="DejaVu Sans" w:hAnsi="Cambria" w:cs="DejaVu Sans"/>
      <w:b/>
      <w:kern w:val="2"/>
      <w:sz w:val="30"/>
      <w:szCs w:val="24"/>
      <w:lang w:val="uk-UA" w:eastAsia="hi-IN" w:bidi="hi-IN"/>
    </w:rPr>
  </w:style>
  <w:style w:type="paragraph" w:customStyle="1" w:styleId="a3">
    <w:name w:val="літ"/>
    <w:basedOn w:val="a"/>
    <w:rsid w:val="00713DB8"/>
    <w:pPr>
      <w:keepNext/>
      <w:spacing w:before="360" w:after="60"/>
      <w:jc w:val="center"/>
    </w:pPr>
    <w:rPr>
      <w:b/>
      <w:i/>
    </w:rPr>
  </w:style>
  <w:style w:type="paragraph" w:customStyle="1" w:styleId="a4">
    <w:name w:val="підп"/>
    <w:basedOn w:val="a"/>
    <w:rsid w:val="00713DB8"/>
    <w:pPr>
      <w:jc w:val="right"/>
    </w:pPr>
    <w:rPr>
      <w:i/>
    </w:rPr>
  </w:style>
  <w:style w:type="paragraph" w:customStyle="1" w:styleId="a5">
    <w:name w:val="літ осн"/>
    <w:basedOn w:val="a"/>
    <w:rsid w:val="00713DB8"/>
    <w:pPr>
      <w:widowControl w:val="0"/>
      <w:ind w:firstLine="510"/>
    </w:pPr>
    <w:rPr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713DB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7">
    <w:name w:val="Верхний колонтитул Знак"/>
    <w:basedOn w:val="a0"/>
    <w:link w:val="a6"/>
    <w:uiPriority w:val="99"/>
    <w:rsid w:val="00713DB8"/>
    <w:rPr>
      <w:rFonts w:ascii="Cambria" w:eastAsia="DejaVu Sans" w:hAnsi="Cambria" w:cs="Mangal"/>
      <w:kern w:val="2"/>
      <w:sz w:val="30"/>
      <w:szCs w:val="24"/>
      <w:lang w:val="uk-UA" w:eastAsia="hi-IN" w:bidi="hi-IN"/>
    </w:rPr>
  </w:style>
  <w:style w:type="paragraph" w:styleId="a8">
    <w:name w:val="footer"/>
    <w:basedOn w:val="a"/>
    <w:link w:val="a9"/>
    <w:uiPriority w:val="99"/>
    <w:unhideWhenUsed/>
    <w:rsid w:val="00713DB8"/>
    <w:pPr>
      <w:tabs>
        <w:tab w:val="center" w:pos="4677"/>
        <w:tab w:val="right" w:pos="9355"/>
      </w:tabs>
    </w:pPr>
    <w:rPr>
      <w:rFonts w:cs="Mangal"/>
    </w:rPr>
  </w:style>
  <w:style w:type="character" w:customStyle="1" w:styleId="a9">
    <w:name w:val="Нижний колонтитул Знак"/>
    <w:basedOn w:val="a0"/>
    <w:link w:val="a8"/>
    <w:uiPriority w:val="99"/>
    <w:rsid w:val="00713DB8"/>
    <w:rPr>
      <w:rFonts w:ascii="Cambria" w:eastAsia="DejaVu Sans" w:hAnsi="Cambria" w:cs="Mangal"/>
      <w:kern w:val="2"/>
      <w:sz w:val="30"/>
      <w:szCs w:val="24"/>
      <w:lang w:val="uk-U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CED20-B809-47FB-8A81-A6D16791E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2017-04-05T09:26:00Z</dcterms:created>
  <dcterms:modified xsi:type="dcterms:W3CDTF">2017-04-05T09:27:00Z</dcterms:modified>
</cp:coreProperties>
</file>