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17" w:rsidRPr="00DD745C" w:rsidRDefault="00DB5D17" w:rsidP="00DB5D17">
      <w:pPr>
        <w:rPr>
          <w:sz w:val="20"/>
          <w:szCs w:val="20"/>
        </w:rPr>
      </w:pPr>
      <w:r w:rsidRPr="00DD745C">
        <w:rPr>
          <w:sz w:val="20"/>
          <w:szCs w:val="20"/>
        </w:rPr>
        <w:t>УДК 339.9</w:t>
      </w:r>
    </w:p>
    <w:p w:rsidR="00DB5D17" w:rsidRPr="00492264" w:rsidRDefault="00DB5D17" w:rsidP="00DB5D17">
      <w:pPr>
        <w:ind w:firstLine="709"/>
        <w:rPr>
          <w:sz w:val="20"/>
          <w:szCs w:val="20"/>
        </w:rPr>
      </w:pPr>
    </w:p>
    <w:p w:rsidR="00DB5D17" w:rsidRPr="00492264" w:rsidRDefault="00DB5D17" w:rsidP="00DB5D17">
      <w:pPr>
        <w:shd w:val="clear" w:color="auto" w:fill="FFFFFF"/>
        <w:jc w:val="right"/>
        <w:rPr>
          <w:b/>
          <w:sz w:val="20"/>
          <w:szCs w:val="20"/>
        </w:rPr>
      </w:pPr>
      <w:r w:rsidRPr="00492264">
        <w:rPr>
          <w:b/>
          <w:sz w:val="20"/>
          <w:szCs w:val="20"/>
        </w:rPr>
        <w:t>РИЧКА М.А.</w:t>
      </w:r>
      <w:r>
        <w:rPr>
          <w:b/>
          <w:sz w:val="20"/>
          <w:szCs w:val="20"/>
        </w:rPr>
        <w:t>,</w:t>
      </w:r>
    </w:p>
    <w:p w:rsidR="00DB5D17" w:rsidRPr="004B7DD3" w:rsidRDefault="00DB5D17" w:rsidP="00DB5D17">
      <w:pPr>
        <w:jc w:val="right"/>
        <w:rPr>
          <w:sz w:val="20"/>
          <w:szCs w:val="20"/>
        </w:rPr>
      </w:pPr>
      <w:r w:rsidRPr="004B7DD3">
        <w:rPr>
          <w:sz w:val="20"/>
          <w:szCs w:val="20"/>
        </w:rPr>
        <w:t xml:space="preserve">к.е.н., </w:t>
      </w:r>
      <w:r w:rsidRPr="004B7DD3">
        <w:rPr>
          <w:color w:val="262626"/>
          <w:sz w:val="20"/>
          <w:szCs w:val="20"/>
        </w:rPr>
        <w:t xml:space="preserve"> доцент, </w:t>
      </w:r>
      <w:r w:rsidRPr="004B7DD3">
        <w:rPr>
          <w:sz w:val="20"/>
          <w:szCs w:val="20"/>
        </w:rPr>
        <w:t xml:space="preserve">доцент кафедри міжнародних економічних відносин і бізнесу </w:t>
      </w:r>
    </w:p>
    <w:p w:rsidR="00DB5D17" w:rsidRPr="004B7DD3" w:rsidRDefault="00DB5D17" w:rsidP="00DB5D17">
      <w:pPr>
        <w:jc w:val="right"/>
        <w:rPr>
          <w:sz w:val="20"/>
          <w:szCs w:val="20"/>
        </w:rPr>
      </w:pPr>
      <w:r w:rsidRPr="004B7DD3">
        <w:rPr>
          <w:sz w:val="20"/>
          <w:szCs w:val="20"/>
        </w:rPr>
        <w:t xml:space="preserve">Навчально-наукового інституту Міжнародних відносин </w:t>
      </w:r>
    </w:p>
    <w:p w:rsidR="00DB5D17" w:rsidRPr="004B7DD3" w:rsidRDefault="00DB5D17" w:rsidP="00DB5D17">
      <w:pPr>
        <w:jc w:val="right"/>
        <w:rPr>
          <w:sz w:val="20"/>
          <w:szCs w:val="20"/>
        </w:rPr>
      </w:pPr>
      <w:r w:rsidRPr="004B7DD3">
        <w:rPr>
          <w:sz w:val="20"/>
          <w:szCs w:val="20"/>
        </w:rPr>
        <w:t>Національного авіаційного університету</w:t>
      </w:r>
    </w:p>
    <w:p w:rsidR="00DB5D17" w:rsidRPr="004B7DD3" w:rsidRDefault="00DB5D17" w:rsidP="00DB5D17">
      <w:pPr>
        <w:autoSpaceDE w:val="0"/>
        <w:autoSpaceDN w:val="0"/>
        <w:adjustRightInd w:val="0"/>
        <w:jc w:val="right"/>
        <w:rPr>
          <w:rFonts w:eastAsia="TimesNewRoman"/>
          <w:b/>
          <w:sz w:val="20"/>
          <w:szCs w:val="20"/>
        </w:rPr>
      </w:pPr>
      <w:r w:rsidRPr="004B7DD3">
        <w:rPr>
          <w:rFonts w:eastAsia="TimesNewRoman"/>
          <w:b/>
          <w:sz w:val="20"/>
          <w:szCs w:val="20"/>
        </w:rPr>
        <w:t>ПОПОВА Ю.В.,</w:t>
      </w:r>
    </w:p>
    <w:p w:rsidR="00DB5D17" w:rsidRPr="004B7DD3" w:rsidRDefault="00DB5D17" w:rsidP="00DB5D17">
      <w:pPr>
        <w:jc w:val="right"/>
        <w:outlineLvl w:val="0"/>
        <w:rPr>
          <w:rFonts w:eastAsia="TimesNewRoman"/>
          <w:sz w:val="20"/>
          <w:szCs w:val="20"/>
        </w:rPr>
      </w:pPr>
      <w:r w:rsidRPr="004B7DD3">
        <w:rPr>
          <w:rFonts w:eastAsia="TimesNewRoman"/>
          <w:sz w:val="20"/>
          <w:szCs w:val="20"/>
        </w:rPr>
        <w:t xml:space="preserve">студентка магістратури </w:t>
      </w:r>
    </w:p>
    <w:p w:rsidR="00DB5D17" w:rsidRPr="004B7DD3" w:rsidRDefault="00DB5D17" w:rsidP="00DB5D17">
      <w:pPr>
        <w:jc w:val="right"/>
        <w:outlineLvl w:val="0"/>
        <w:rPr>
          <w:rFonts w:eastAsia="TimesNewRoman"/>
          <w:sz w:val="20"/>
          <w:szCs w:val="20"/>
        </w:rPr>
      </w:pPr>
      <w:r w:rsidRPr="004B7DD3">
        <w:rPr>
          <w:rFonts w:eastAsia="TimesNewRoman"/>
          <w:sz w:val="20"/>
          <w:szCs w:val="20"/>
        </w:rPr>
        <w:t xml:space="preserve">Навчально-наукового інституту Міжнародних відносин </w:t>
      </w:r>
    </w:p>
    <w:p w:rsidR="00DB5D17" w:rsidRPr="004B7DD3" w:rsidRDefault="00DB5D17" w:rsidP="00DB5D17">
      <w:pPr>
        <w:jc w:val="right"/>
        <w:outlineLvl w:val="0"/>
        <w:rPr>
          <w:sz w:val="20"/>
          <w:szCs w:val="20"/>
        </w:rPr>
      </w:pPr>
      <w:r w:rsidRPr="004B7DD3">
        <w:rPr>
          <w:rFonts w:eastAsia="TimesNewRoman"/>
          <w:sz w:val="20"/>
          <w:szCs w:val="20"/>
        </w:rPr>
        <w:t>Національного авіаційного університету</w:t>
      </w:r>
      <w:r w:rsidRPr="004B7DD3">
        <w:rPr>
          <w:sz w:val="20"/>
          <w:szCs w:val="20"/>
        </w:rPr>
        <w:t xml:space="preserve"> </w:t>
      </w:r>
    </w:p>
    <w:p w:rsidR="00DB5D17" w:rsidRPr="004B7DD3" w:rsidRDefault="00DB5D17" w:rsidP="00DB5D17">
      <w:pPr>
        <w:jc w:val="center"/>
        <w:outlineLvl w:val="0"/>
        <w:rPr>
          <w:b/>
          <w:sz w:val="20"/>
          <w:szCs w:val="20"/>
        </w:rPr>
      </w:pPr>
    </w:p>
    <w:p w:rsidR="00DB5D17" w:rsidRPr="00492264" w:rsidRDefault="00DB5D17" w:rsidP="00DB5D17">
      <w:pPr>
        <w:jc w:val="center"/>
        <w:outlineLvl w:val="0"/>
        <w:rPr>
          <w:b/>
          <w:sz w:val="20"/>
          <w:szCs w:val="20"/>
        </w:rPr>
      </w:pPr>
      <w:r w:rsidRPr="00492264">
        <w:rPr>
          <w:b/>
          <w:sz w:val="20"/>
          <w:szCs w:val="20"/>
        </w:rPr>
        <w:t>АНАЛІЗ  ІНТЕРНЕТ-ТОРГІВЛІ В ГЛОБАЛЬНОМУ СЕРЕДОВИЩІ</w:t>
      </w:r>
    </w:p>
    <w:p w:rsidR="00DB5D17" w:rsidRPr="00492264" w:rsidRDefault="00DB5D17" w:rsidP="00DB5D17">
      <w:pPr>
        <w:jc w:val="center"/>
        <w:outlineLvl w:val="0"/>
        <w:rPr>
          <w:b/>
          <w:sz w:val="20"/>
          <w:szCs w:val="20"/>
        </w:rPr>
      </w:pPr>
    </w:p>
    <w:p w:rsidR="00DB5D17" w:rsidRPr="00D72FCE" w:rsidRDefault="00DB5D17" w:rsidP="00DB5D17">
      <w:pPr>
        <w:ind w:firstLine="720"/>
        <w:jc w:val="both"/>
        <w:rPr>
          <w:i/>
          <w:sz w:val="20"/>
          <w:szCs w:val="20"/>
        </w:rPr>
      </w:pPr>
      <w:r w:rsidRPr="00492264">
        <w:rPr>
          <w:b/>
          <w:i/>
          <w:sz w:val="20"/>
          <w:szCs w:val="20"/>
        </w:rPr>
        <w:t>Анотація.</w:t>
      </w:r>
      <w:r w:rsidRPr="00492264">
        <w:rPr>
          <w:i/>
          <w:sz w:val="20"/>
          <w:szCs w:val="20"/>
        </w:rPr>
        <w:t xml:space="preserve"> </w:t>
      </w:r>
      <w:r w:rsidRPr="00D72FCE">
        <w:rPr>
          <w:i/>
          <w:sz w:val="20"/>
          <w:szCs w:val="20"/>
        </w:rPr>
        <w:t xml:space="preserve">У статті проаналізовано структура та  обсяги Інтернет-торгівлі у світі. Досліджено динаміку світової Інтернет-торгівлі. Також виділені основні тенденції та прогноз темпів зростання Інтернет-торгівлі в глобальному середовищі. </w:t>
      </w:r>
    </w:p>
    <w:p w:rsidR="00DB5D17" w:rsidRPr="00492264" w:rsidRDefault="00DB5D17" w:rsidP="00DB5D17">
      <w:pPr>
        <w:ind w:firstLine="720"/>
        <w:jc w:val="both"/>
        <w:rPr>
          <w:sz w:val="20"/>
          <w:szCs w:val="20"/>
        </w:rPr>
      </w:pPr>
      <w:r w:rsidRPr="00694B36">
        <w:rPr>
          <w:b/>
          <w:sz w:val="20"/>
          <w:szCs w:val="20"/>
        </w:rPr>
        <w:t>Ключові слова:</w:t>
      </w:r>
      <w:r w:rsidRPr="00492264">
        <w:rPr>
          <w:i/>
          <w:sz w:val="20"/>
          <w:szCs w:val="20"/>
        </w:rPr>
        <w:t xml:space="preserve"> </w:t>
      </w:r>
      <w:r w:rsidRPr="00492264">
        <w:rPr>
          <w:sz w:val="20"/>
          <w:szCs w:val="20"/>
        </w:rPr>
        <w:t>ринок Інтернет-торгівлі, онлайн-продаж, Інтернет-користувач, онлайн-покупець.</w:t>
      </w:r>
    </w:p>
    <w:p w:rsidR="00DB5D17" w:rsidRDefault="00DB5D17" w:rsidP="00DB5D17">
      <w:pPr>
        <w:contextualSpacing/>
        <w:jc w:val="both"/>
        <w:rPr>
          <w:b/>
          <w:sz w:val="20"/>
          <w:szCs w:val="20"/>
        </w:rPr>
      </w:pPr>
    </w:p>
    <w:p w:rsidR="00DB5D17" w:rsidRPr="006F3A04" w:rsidRDefault="00DB5D17" w:rsidP="00DB5D17">
      <w:pPr>
        <w:contextualSpacing/>
        <w:jc w:val="both"/>
        <w:rPr>
          <w:rFonts w:eastAsia="TimesNewRoman"/>
          <w:sz w:val="20"/>
          <w:szCs w:val="20"/>
        </w:rPr>
      </w:pPr>
      <w:r w:rsidRPr="00D72FCE">
        <w:rPr>
          <w:b/>
          <w:sz w:val="20"/>
          <w:szCs w:val="20"/>
        </w:rPr>
        <w:t xml:space="preserve">Ричка М.А., </w:t>
      </w:r>
      <w:r w:rsidRPr="00492264">
        <w:rPr>
          <w:sz w:val="20"/>
          <w:szCs w:val="20"/>
        </w:rPr>
        <w:t xml:space="preserve">к.э.н, </w:t>
      </w:r>
      <w:r w:rsidRPr="00492264">
        <w:rPr>
          <w:rFonts w:eastAsia="TimesNewRoman"/>
          <w:sz w:val="20"/>
          <w:szCs w:val="20"/>
        </w:rPr>
        <w:t xml:space="preserve">доцент, доцент кафедры международных экономических отношений и бизнеса Учебно-научного института Международных отношений Национального авиационного университета, </w:t>
      </w:r>
    </w:p>
    <w:p w:rsidR="00DB5D17" w:rsidRPr="00492264" w:rsidRDefault="00DB5D17" w:rsidP="00DB5D17">
      <w:pPr>
        <w:contextualSpacing/>
        <w:jc w:val="both"/>
        <w:rPr>
          <w:rFonts w:eastAsia="TimesNewRoman"/>
          <w:sz w:val="20"/>
          <w:szCs w:val="20"/>
        </w:rPr>
      </w:pPr>
      <w:r w:rsidRPr="00492264">
        <w:rPr>
          <w:rFonts w:eastAsia="TimesNewRoman"/>
          <w:b/>
          <w:sz w:val="20"/>
          <w:szCs w:val="20"/>
        </w:rPr>
        <w:t xml:space="preserve">Попова Ю.В., </w:t>
      </w:r>
      <w:r w:rsidRPr="00492264">
        <w:rPr>
          <w:rFonts w:eastAsia="TimesNewRoman"/>
          <w:sz w:val="20"/>
          <w:szCs w:val="20"/>
        </w:rPr>
        <w:t>студентка магистратуры Учебно-научного института Международных отношений Национального авиационного университета.</w:t>
      </w:r>
    </w:p>
    <w:p w:rsidR="00DB5D17" w:rsidRPr="00492264" w:rsidRDefault="00DB5D17" w:rsidP="00DB5D17">
      <w:pPr>
        <w:ind w:firstLine="720"/>
        <w:jc w:val="both"/>
        <w:rPr>
          <w:sz w:val="20"/>
          <w:szCs w:val="20"/>
        </w:rPr>
      </w:pPr>
    </w:p>
    <w:p w:rsidR="00DB5D17" w:rsidRPr="00492264" w:rsidRDefault="00DB5D17" w:rsidP="00DB5D17">
      <w:pPr>
        <w:jc w:val="center"/>
        <w:outlineLvl w:val="0"/>
        <w:rPr>
          <w:b/>
          <w:sz w:val="20"/>
          <w:szCs w:val="20"/>
        </w:rPr>
      </w:pPr>
      <w:r w:rsidRPr="00492264">
        <w:rPr>
          <w:b/>
          <w:sz w:val="20"/>
          <w:szCs w:val="20"/>
        </w:rPr>
        <w:t>АНАЛИЗ ИНТЕРНЕТ-ТОРГОВЛИ В ГЛОБАЛЬНОЙ СРЕДЕ</w:t>
      </w:r>
    </w:p>
    <w:p w:rsidR="00DB5D17" w:rsidRPr="00492264" w:rsidRDefault="00DB5D17" w:rsidP="00DB5D17">
      <w:pPr>
        <w:jc w:val="center"/>
        <w:outlineLvl w:val="0"/>
        <w:rPr>
          <w:sz w:val="20"/>
          <w:szCs w:val="20"/>
        </w:rPr>
      </w:pPr>
    </w:p>
    <w:p w:rsidR="00DB5D17" w:rsidRPr="00D72FCE" w:rsidRDefault="00DB5D17" w:rsidP="00DB5D17">
      <w:pPr>
        <w:ind w:firstLine="720"/>
        <w:jc w:val="both"/>
        <w:rPr>
          <w:i/>
          <w:sz w:val="20"/>
          <w:szCs w:val="20"/>
        </w:rPr>
      </w:pPr>
      <w:r w:rsidRPr="00492264">
        <w:rPr>
          <w:b/>
          <w:i/>
          <w:sz w:val="20"/>
          <w:szCs w:val="20"/>
        </w:rPr>
        <w:t>Аннотация.</w:t>
      </w:r>
      <w:r w:rsidRPr="00492264">
        <w:rPr>
          <w:sz w:val="20"/>
          <w:szCs w:val="20"/>
        </w:rPr>
        <w:t xml:space="preserve"> </w:t>
      </w:r>
      <w:r w:rsidRPr="00D72FCE">
        <w:rPr>
          <w:i/>
          <w:sz w:val="20"/>
          <w:szCs w:val="20"/>
        </w:rPr>
        <w:t>В статье проанализированы структура и объемы Интернет-торговли в мире. Исследована динамика мировой Интернет-торговли. Также выделены основные тенденции и прогноз темпов роста Интернет-торговли в глобальной среде.</w:t>
      </w:r>
    </w:p>
    <w:p w:rsidR="00DB5D17" w:rsidRPr="00492264" w:rsidRDefault="00DB5D17" w:rsidP="00DB5D17">
      <w:pPr>
        <w:ind w:firstLine="720"/>
        <w:jc w:val="both"/>
        <w:rPr>
          <w:sz w:val="20"/>
          <w:szCs w:val="20"/>
        </w:rPr>
      </w:pPr>
      <w:r w:rsidRPr="00694B36">
        <w:rPr>
          <w:b/>
          <w:sz w:val="20"/>
          <w:szCs w:val="20"/>
        </w:rPr>
        <w:t>Ключевые слова:</w:t>
      </w:r>
      <w:r w:rsidRPr="00492264">
        <w:rPr>
          <w:i/>
          <w:sz w:val="20"/>
          <w:szCs w:val="20"/>
        </w:rPr>
        <w:t xml:space="preserve"> </w:t>
      </w:r>
      <w:r w:rsidRPr="00492264">
        <w:rPr>
          <w:sz w:val="20"/>
          <w:szCs w:val="20"/>
        </w:rPr>
        <w:t>рынок Интернет-торговли, онлайн-продажа, Интернет-пользователь, онлайн-покупатель.</w:t>
      </w:r>
    </w:p>
    <w:p w:rsidR="00DB5D17" w:rsidRPr="00492264" w:rsidRDefault="00DB5D17" w:rsidP="00DB5D17">
      <w:pPr>
        <w:jc w:val="both"/>
        <w:rPr>
          <w:b/>
          <w:sz w:val="20"/>
          <w:szCs w:val="20"/>
        </w:rPr>
      </w:pPr>
    </w:p>
    <w:p w:rsidR="00DB5D17" w:rsidRPr="00492264" w:rsidRDefault="00DB5D17" w:rsidP="00DB5D17">
      <w:pPr>
        <w:jc w:val="both"/>
        <w:rPr>
          <w:rFonts w:eastAsia="TimesNewRoman"/>
          <w:b/>
          <w:sz w:val="20"/>
          <w:szCs w:val="20"/>
          <w:lang w:val="en-US"/>
        </w:rPr>
      </w:pPr>
      <w:r w:rsidRPr="00D72FCE">
        <w:rPr>
          <w:b/>
          <w:sz w:val="20"/>
          <w:szCs w:val="20"/>
          <w:lang w:val="en-US"/>
        </w:rPr>
        <w:t>Rychka</w:t>
      </w:r>
      <w:r w:rsidRPr="00A45257">
        <w:rPr>
          <w:b/>
          <w:sz w:val="20"/>
          <w:szCs w:val="20"/>
          <w:lang w:val="en-US"/>
        </w:rPr>
        <w:t xml:space="preserve"> </w:t>
      </w:r>
      <w:r w:rsidRPr="00D72FCE">
        <w:rPr>
          <w:b/>
          <w:sz w:val="20"/>
          <w:szCs w:val="20"/>
          <w:lang w:val="en-US"/>
        </w:rPr>
        <w:t>M</w:t>
      </w:r>
      <w:r w:rsidRPr="000C7CC3">
        <w:rPr>
          <w:b/>
          <w:sz w:val="20"/>
          <w:szCs w:val="20"/>
          <w:lang w:val="en-US"/>
        </w:rPr>
        <w:t>.</w:t>
      </w:r>
      <w:r w:rsidRPr="00D72FCE">
        <w:rPr>
          <w:b/>
          <w:sz w:val="20"/>
          <w:szCs w:val="20"/>
          <w:lang w:val="en-US"/>
        </w:rPr>
        <w:t>A</w:t>
      </w:r>
      <w:r w:rsidRPr="00A45257">
        <w:rPr>
          <w:b/>
          <w:sz w:val="20"/>
          <w:szCs w:val="20"/>
          <w:lang w:val="en-US"/>
        </w:rPr>
        <w:t>.</w:t>
      </w:r>
      <w:r w:rsidRPr="000C7CC3">
        <w:rPr>
          <w:b/>
          <w:sz w:val="20"/>
          <w:szCs w:val="20"/>
          <w:lang w:val="en-US"/>
        </w:rPr>
        <w:t xml:space="preserve">, </w:t>
      </w:r>
      <w:r w:rsidRPr="00492264">
        <w:rPr>
          <w:sz w:val="20"/>
          <w:szCs w:val="20"/>
          <w:lang w:val="en-US"/>
        </w:rPr>
        <w:t>Ph</w:t>
      </w:r>
      <w:r w:rsidRPr="000C7CC3">
        <w:rPr>
          <w:sz w:val="20"/>
          <w:szCs w:val="20"/>
          <w:lang w:val="en-US"/>
        </w:rPr>
        <w:t>.</w:t>
      </w:r>
      <w:r w:rsidRPr="00492264">
        <w:rPr>
          <w:sz w:val="20"/>
          <w:szCs w:val="20"/>
          <w:lang w:val="en-US"/>
        </w:rPr>
        <w:t>D</w:t>
      </w:r>
      <w:r w:rsidRPr="000C7CC3">
        <w:rPr>
          <w:sz w:val="20"/>
          <w:szCs w:val="20"/>
          <w:lang w:val="en-US"/>
        </w:rPr>
        <w:t xml:space="preserve">.  </w:t>
      </w:r>
      <w:r w:rsidRPr="00492264">
        <w:rPr>
          <w:sz w:val="20"/>
          <w:szCs w:val="20"/>
          <w:lang w:val="en-US"/>
        </w:rPr>
        <w:t>in  Economics,  Associate,  assistant professor, Professor  of  International  Economic Relations  and  Business Department,  Institute  of  International  Relations,  National  Aviation  University;</w:t>
      </w:r>
      <w:r w:rsidRPr="00492264">
        <w:rPr>
          <w:rFonts w:eastAsia="TimesNewRoman"/>
          <w:b/>
          <w:sz w:val="20"/>
          <w:szCs w:val="20"/>
          <w:lang w:val="en-US"/>
        </w:rPr>
        <w:t xml:space="preserve"> </w:t>
      </w:r>
    </w:p>
    <w:p w:rsidR="00DB5D17" w:rsidRPr="00492264" w:rsidRDefault="00DB5D17" w:rsidP="00DB5D17">
      <w:pPr>
        <w:jc w:val="both"/>
        <w:rPr>
          <w:sz w:val="20"/>
          <w:szCs w:val="20"/>
          <w:lang w:val="en-US"/>
        </w:rPr>
      </w:pPr>
      <w:r w:rsidRPr="00492264">
        <w:rPr>
          <w:rFonts w:eastAsia="TimesNewRoman"/>
          <w:b/>
          <w:sz w:val="20"/>
          <w:szCs w:val="20"/>
          <w:lang w:val="en-US"/>
        </w:rPr>
        <w:t>Popova Yu. V.,</w:t>
      </w:r>
      <w:r w:rsidRPr="00492264">
        <w:rPr>
          <w:sz w:val="20"/>
          <w:szCs w:val="20"/>
          <w:lang w:val="en-US"/>
        </w:rPr>
        <w:t xml:space="preserve"> 6-year student, Institute  of  International  Relations,  National  Aviation  University</w:t>
      </w:r>
    </w:p>
    <w:p w:rsidR="00DB5D17" w:rsidRPr="000C7CC3" w:rsidRDefault="00DB5D17" w:rsidP="00DB5D17">
      <w:pPr>
        <w:ind w:firstLine="720"/>
        <w:jc w:val="center"/>
        <w:rPr>
          <w:b/>
          <w:sz w:val="20"/>
          <w:szCs w:val="20"/>
          <w:lang w:val="en-US"/>
        </w:rPr>
      </w:pPr>
    </w:p>
    <w:p w:rsidR="00DB5D17" w:rsidRPr="000C7CC3" w:rsidRDefault="00DB5D17" w:rsidP="00DB5D17">
      <w:pPr>
        <w:ind w:firstLine="720"/>
        <w:jc w:val="center"/>
        <w:rPr>
          <w:b/>
          <w:sz w:val="20"/>
          <w:szCs w:val="20"/>
          <w:lang w:val="en-US"/>
        </w:rPr>
      </w:pPr>
      <w:r w:rsidRPr="000C7CC3">
        <w:rPr>
          <w:b/>
          <w:sz w:val="20"/>
          <w:szCs w:val="20"/>
          <w:lang w:val="en-US"/>
        </w:rPr>
        <w:t>ANALYSIS OF E</w:t>
      </w:r>
      <w:r w:rsidRPr="00492264">
        <w:rPr>
          <w:b/>
          <w:sz w:val="20"/>
          <w:szCs w:val="20"/>
          <w:lang w:val="en-US"/>
        </w:rPr>
        <w:t>-</w:t>
      </w:r>
      <w:r w:rsidRPr="000C7CC3">
        <w:rPr>
          <w:b/>
          <w:sz w:val="20"/>
          <w:szCs w:val="20"/>
          <w:lang w:val="en-US"/>
        </w:rPr>
        <w:t>COMMERCE IN A GLOBAL ENVIROMENT</w:t>
      </w:r>
    </w:p>
    <w:p w:rsidR="00DB5D17" w:rsidRPr="000C7CC3" w:rsidRDefault="00DB5D17" w:rsidP="00DB5D17">
      <w:pPr>
        <w:ind w:firstLine="720"/>
        <w:jc w:val="center"/>
        <w:rPr>
          <w:sz w:val="20"/>
          <w:szCs w:val="20"/>
          <w:lang w:val="en-US"/>
        </w:rPr>
      </w:pPr>
    </w:p>
    <w:p w:rsidR="00DB5D17" w:rsidRPr="00DD745C" w:rsidRDefault="00DB5D17" w:rsidP="00DB5D17">
      <w:pPr>
        <w:ind w:firstLine="720"/>
        <w:jc w:val="both"/>
        <w:rPr>
          <w:rStyle w:val="hps"/>
          <w:i/>
          <w:sz w:val="20"/>
          <w:szCs w:val="20"/>
          <w:lang w:val="en-US"/>
        </w:rPr>
      </w:pPr>
      <w:r w:rsidRPr="000C7CC3">
        <w:rPr>
          <w:b/>
          <w:i/>
          <w:sz w:val="20"/>
          <w:szCs w:val="20"/>
          <w:lang w:val="en-US"/>
        </w:rPr>
        <w:t xml:space="preserve"> </w:t>
      </w:r>
      <w:r w:rsidRPr="00DD745C">
        <w:rPr>
          <w:rStyle w:val="hps"/>
          <w:b/>
          <w:i/>
          <w:sz w:val="20"/>
          <w:szCs w:val="20"/>
          <w:lang w:val="en-US"/>
        </w:rPr>
        <w:t>Annotation.</w:t>
      </w:r>
      <w:r w:rsidRPr="00492264">
        <w:rPr>
          <w:rStyle w:val="hps"/>
          <w:i/>
          <w:sz w:val="20"/>
          <w:szCs w:val="20"/>
          <w:lang w:val="en-US"/>
        </w:rPr>
        <w:t xml:space="preserve"> </w:t>
      </w:r>
      <w:r w:rsidRPr="000C7CC3">
        <w:rPr>
          <w:rStyle w:val="hps"/>
          <w:i/>
          <w:sz w:val="20"/>
          <w:szCs w:val="20"/>
          <w:lang w:val="en-US"/>
        </w:rPr>
        <w:t xml:space="preserve"> </w:t>
      </w:r>
      <w:r w:rsidRPr="00DD745C">
        <w:rPr>
          <w:rStyle w:val="hps"/>
          <w:i/>
          <w:sz w:val="20"/>
          <w:szCs w:val="20"/>
          <w:lang w:val="en-US"/>
        </w:rPr>
        <w:t>This article analyzes structure and volume of e-commerce in the world. Also  was emphasized the main trends and forecast growth of e-commerce in a global environment.</w:t>
      </w:r>
    </w:p>
    <w:p w:rsidR="00DB5D17" w:rsidRPr="00492264" w:rsidRDefault="00DB5D17" w:rsidP="00DB5D17">
      <w:pPr>
        <w:ind w:firstLine="720"/>
        <w:jc w:val="both"/>
        <w:rPr>
          <w:rStyle w:val="hps"/>
          <w:sz w:val="20"/>
          <w:szCs w:val="20"/>
          <w:lang w:val="en-US"/>
        </w:rPr>
      </w:pPr>
      <w:r w:rsidRPr="00694B36">
        <w:rPr>
          <w:b/>
          <w:sz w:val="20"/>
          <w:szCs w:val="20"/>
          <w:lang w:val="en-US"/>
        </w:rPr>
        <w:t>Keywords:</w:t>
      </w:r>
      <w:r w:rsidRPr="00492264">
        <w:rPr>
          <w:b/>
          <w:i/>
          <w:sz w:val="20"/>
          <w:szCs w:val="20"/>
          <w:lang w:val="en-US"/>
        </w:rPr>
        <w:t xml:space="preserve"> </w:t>
      </w:r>
      <w:r w:rsidRPr="00492264">
        <w:rPr>
          <w:sz w:val="20"/>
          <w:szCs w:val="20"/>
        </w:rPr>
        <w:t>о</w:t>
      </w:r>
      <w:r w:rsidRPr="00492264">
        <w:rPr>
          <w:sz w:val="20"/>
          <w:szCs w:val="20"/>
          <w:lang w:val="en-US"/>
        </w:rPr>
        <w:t>nline retail market, online sales, online customer, online buyer.</w:t>
      </w:r>
    </w:p>
    <w:p w:rsidR="00DB5D17" w:rsidRPr="00492264" w:rsidRDefault="00DB5D17" w:rsidP="00DB5D17">
      <w:pPr>
        <w:ind w:firstLine="720"/>
        <w:jc w:val="both"/>
        <w:rPr>
          <w:sz w:val="20"/>
          <w:szCs w:val="20"/>
          <w:lang w:val="en-US"/>
        </w:rPr>
      </w:pPr>
    </w:p>
    <w:p w:rsidR="00DB5D17" w:rsidRPr="00492264" w:rsidRDefault="00DB5D17" w:rsidP="00DB5D17">
      <w:pPr>
        <w:ind w:firstLine="720"/>
        <w:jc w:val="both"/>
        <w:rPr>
          <w:sz w:val="20"/>
          <w:szCs w:val="20"/>
        </w:rPr>
      </w:pPr>
      <w:r w:rsidRPr="00492264">
        <w:rPr>
          <w:b/>
          <w:sz w:val="20"/>
          <w:szCs w:val="20"/>
        </w:rPr>
        <w:t xml:space="preserve">Актуальність та постановка проблеми. </w:t>
      </w:r>
      <w:r w:rsidRPr="00492264">
        <w:rPr>
          <w:sz w:val="20"/>
          <w:szCs w:val="20"/>
        </w:rPr>
        <w:t>Під впливом бурхливого розвитку науково-технічного прогресу, створенням інноваційних технологій значу роль відіграє електронна комерція. На сучасному етапі функціонування роздрібна торгівля у світі характеризується динамічними кардинальними структурними змінами,  обумовленими розвитком та поширенням мережі Інтернет. Наслідком такого прояву стає розвиток Інтернет-торгівлі.</w:t>
      </w:r>
    </w:p>
    <w:p w:rsidR="00DB5D17" w:rsidRPr="00492264" w:rsidRDefault="00DB5D17" w:rsidP="00DB5D17">
      <w:pPr>
        <w:ind w:firstLine="720"/>
        <w:jc w:val="both"/>
        <w:rPr>
          <w:sz w:val="20"/>
          <w:szCs w:val="20"/>
        </w:rPr>
      </w:pPr>
      <w:r w:rsidRPr="00492264">
        <w:rPr>
          <w:b/>
          <w:iCs/>
          <w:color w:val="000000"/>
          <w:sz w:val="20"/>
          <w:szCs w:val="20"/>
          <w:shd w:val="clear" w:color="auto" w:fill="FFFFFF"/>
        </w:rPr>
        <w:t>Аналіз останніх досліджень і публікацій.</w:t>
      </w:r>
      <w:r w:rsidRPr="00492264">
        <w:rPr>
          <w:rStyle w:val="apple-converted-space"/>
          <w:i/>
          <w:iCs/>
          <w:color w:val="000000"/>
          <w:shd w:val="clear" w:color="auto" w:fill="FFFFFF"/>
        </w:rPr>
        <w:t> </w:t>
      </w:r>
      <w:r w:rsidRPr="00492264">
        <w:rPr>
          <w:rStyle w:val="apple-converted-space"/>
          <w:iCs/>
          <w:color w:val="000000"/>
          <w:shd w:val="clear" w:color="auto" w:fill="FFFFFF"/>
        </w:rPr>
        <w:t xml:space="preserve">Широке коло питань, пов’язаних з дослідженнями сутності та особливостями розвитку Інтернет-торгівлі займалися такі вчені: </w:t>
      </w:r>
      <w:r w:rsidRPr="00492264">
        <w:rPr>
          <w:sz w:val="20"/>
          <w:szCs w:val="20"/>
        </w:rPr>
        <w:t>Г. Дункан, В. Звасс, Д. Козьє, Л. Стюарт, В.В. Апопій, А.О. Кантарович, Р.М. Лавренюк, М.В. Макарова, І.П. Міщук, Н.С. Меджибовська, В.Л. Плескач, А. Саммер, В.О. Соболєв, Н.М. Тягунова, В.В. Царев, О.М. Юдін та ін.</w:t>
      </w:r>
    </w:p>
    <w:p w:rsidR="00DB5D17" w:rsidRPr="00492264" w:rsidRDefault="00DB5D17" w:rsidP="00DB5D17">
      <w:pPr>
        <w:ind w:firstLine="720"/>
        <w:jc w:val="both"/>
        <w:rPr>
          <w:sz w:val="20"/>
          <w:szCs w:val="20"/>
        </w:rPr>
      </w:pPr>
      <w:r w:rsidRPr="00492264">
        <w:rPr>
          <w:b/>
          <w:sz w:val="20"/>
          <w:szCs w:val="20"/>
        </w:rPr>
        <w:t>Мета статті.</w:t>
      </w:r>
      <w:r w:rsidRPr="00492264">
        <w:rPr>
          <w:i/>
          <w:sz w:val="20"/>
          <w:szCs w:val="20"/>
        </w:rPr>
        <w:t xml:space="preserve"> </w:t>
      </w:r>
      <w:r w:rsidRPr="00492264">
        <w:rPr>
          <w:sz w:val="20"/>
          <w:szCs w:val="20"/>
        </w:rPr>
        <w:t>Головна мета даної статті полягає у дослідженні структурних характеристик та тенденцій розвитку Інтернет-торгівлі в глобальному середовищі.</w:t>
      </w:r>
    </w:p>
    <w:p w:rsidR="00DB5D17" w:rsidRPr="00492264" w:rsidRDefault="00DB5D17" w:rsidP="00DB5D17">
      <w:pPr>
        <w:pStyle w:val="a3"/>
        <w:spacing w:before="0" w:beforeAutospacing="0" w:after="0" w:afterAutospacing="0"/>
        <w:ind w:firstLine="709"/>
        <w:contextualSpacing/>
        <w:jc w:val="both"/>
        <w:rPr>
          <w:rStyle w:val="notranslate"/>
          <w:sz w:val="20"/>
          <w:szCs w:val="20"/>
        </w:rPr>
      </w:pPr>
      <w:r w:rsidRPr="00492264">
        <w:rPr>
          <w:b/>
          <w:iCs/>
          <w:color w:val="000000"/>
          <w:sz w:val="20"/>
          <w:szCs w:val="20"/>
          <w:shd w:val="clear" w:color="auto" w:fill="FFFFFF"/>
        </w:rPr>
        <w:t>Виклад основного матеріалу дослідження.</w:t>
      </w:r>
      <w:r w:rsidRPr="00492264">
        <w:rPr>
          <w:i/>
          <w:iCs/>
          <w:color w:val="000000"/>
          <w:sz w:val="20"/>
          <w:szCs w:val="20"/>
          <w:shd w:val="clear" w:color="auto" w:fill="FFFFFF"/>
        </w:rPr>
        <w:t xml:space="preserve"> </w:t>
      </w:r>
      <w:r w:rsidRPr="00492264">
        <w:rPr>
          <w:rStyle w:val="notranslate"/>
          <w:sz w:val="20"/>
          <w:szCs w:val="20"/>
        </w:rPr>
        <w:t>Інтернет-торгівля стала невід'ємною частиною економіки будь-якої держави.</w:t>
      </w:r>
      <w:r w:rsidRPr="00492264">
        <w:rPr>
          <w:rStyle w:val="apple-converted-space"/>
        </w:rPr>
        <w:t> </w:t>
      </w:r>
      <w:r w:rsidRPr="00492264">
        <w:rPr>
          <w:rStyle w:val="notranslate"/>
          <w:sz w:val="20"/>
          <w:szCs w:val="20"/>
        </w:rPr>
        <w:t>Якщо ще кілька років тому люди з побоюванням ставилися до купівлі товарів через Інтернет, то зараз важко знайти людину, яка хоч раз би не скористалася послугами Інтернет-магазинів.</w:t>
      </w:r>
      <w:r w:rsidRPr="00492264">
        <w:rPr>
          <w:rStyle w:val="apple-converted-space"/>
        </w:rPr>
        <w:t> </w:t>
      </w:r>
      <w:r w:rsidRPr="00492264">
        <w:rPr>
          <w:rStyle w:val="notranslate"/>
          <w:sz w:val="20"/>
          <w:szCs w:val="20"/>
        </w:rPr>
        <w:t>Показники кількості операцій в даній сфері ростуть неймовірно швидко, і вона робить все більший і більший вплив на світову економіку.</w:t>
      </w:r>
    </w:p>
    <w:p w:rsidR="00DB5D17" w:rsidRPr="00492264" w:rsidRDefault="00DB5D17" w:rsidP="00DB5D17">
      <w:pPr>
        <w:pStyle w:val="a3"/>
        <w:spacing w:before="0" w:beforeAutospacing="0" w:after="0" w:afterAutospacing="0"/>
        <w:ind w:firstLine="709"/>
        <w:contextualSpacing/>
        <w:jc w:val="both"/>
        <w:rPr>
          <w:sz w:val="20"/>
          <w:szCs w:val="20"/>
        </w:rPr>
      </w:pPr>
      <w:r w:rsidRPr="00492264">
        <w:rPr>
          <w:sz w:val="20"/>
          <w:szCs w:val="20"/>
        </w:rPr>
        <w:t xml:space="preserve">Вчений-економіст Саммер А. визначив поняття «електронна комерція» як будь-яку форму бізнес-процесу, в якому взаємодія між суб’єктами господарської діяльності відбувається електронним шляхом з використанням Internet-технологій [1, С.14]. </w:t>
      </w:r>
    </w:p>
    <w:p w:rsidR="00DB5D17" w:rsidRPr="00492264" w:rsidRDefault="00DB5D17" w:rsidP="00DB5D17">
      <w:pPr>
        <w:pStyle w:val="a3"/>
        <w:spacing w:before="0" w:beforeAutospacing="0" w:after="0" w:afterAutospacing="0"/>
        <w:ind w:firstLine="709"/>
        <w:contextualSpacing/>
        <w:jc w:val="both"/>
        <w:rPr>
          <w:sz w:val="20"/>
          <w:szCs w:val="20"/>
        </w:rPr>
      </w:pPr>
      <w:r w:rsidRPr="00492264">
        <w:rPr>
          <w:sz w:val="20"/>
          <w:szCs w:val="20"/>
        </w:rPr>
        <w:t>Р. Царьов під електронною комерцією пропонував розуміти ділову активність з купівлі – продажу товарів та послуг, що передбачає взаємодію сторін на основі інформаційних мереж [2, С.26]</w:t>
      </w:r>
    </w:p>
    <w:p w:rsidR="00DB5D17" w:rsidRPr="00492264" w:rsidRDefault="00DB5D17" w:rsidP="00DB5D17">
      <w:pPr>
        <w:pStyle w:val="a3"/>
        <w:spacing w:before="0" w:beforeAutospacing="0" w:after="0" w:afterAutospacing="0"/>
        <w:ind w:firstLine="709"/>
        <w:contextualSpacing/>
        <w:jc w:val="both"/>
        <w:rPr>
          <w:sz w:val="20"/>
          <w:szCs w:val="20"/>
        </w:rPr>
      </w:pPr>
      <w:r w:rsidRPr="00492264">
        <w:rPr>
          <w:rStyle w:val="notranslate"/>
          <w:sz w:val="20"/>
          <w:szCs w:val="20"/>
        </w:rPr>
        <w:t>За оцінками зарубіжних експертів агентства eMarketer's в 2014 році зовнішня Інтернет-торгівля досягла позначки в 1,51 трильйон доларів США, збільшившись порівняно з попереднім роком на 20,2%, що трохи нижче темпів зростання в 2013 році.</w:t>
      </w:r>
      <w:r w:rsidRPr="00492264">
        <w:rPr>
          <w:rStyle w:val="apple-converted-space"/>
        </w:rPr>
        <w:t> </w:t>
      </w:r>
      <w:r w:rsidRPr="00492264">
        <w:rPr>
          <w:rStyle w:val="notranslate"/>
          <w:sz w:val="20"/>
          <w:szCs w:val="20"/>
        </w:rPr>
        <w:t>У 2015 році також прогнозується зростання, але вже менш істотне − оборот Інтернет-покупок складе 1,77 трильйонів доларів США [7].</w:t>
      </w:r>
      <w:r w:rsidRPr="00492264">
        <w:rPr>
          <w:rStyle w:val="apple-converted-space"/>
        </w:rPr>
        <w:t> </w:t>
      </w:r>
      <w:r w:rsidRPr="00492264">
        <w:rPr>
          <w:sz w:val="20"/>
          <w:szCs w:val="20"/>
        </w:rPr>
        <w:t> </w:t>
      </w:r>
    </w:p>
    <w:p w:rsidR="00DB5D17" w:rsidRPr="00492264" w:rsidRDefault="00DB5D17" w:rsidP="00DB5D17">
      <w:pPr>
        <w:pStyle w:val="a3"/>
        <w:spacing w:before="0" w:beforeAutospacing="0" w:after="0" w:afterAutospacing="0"/>
        <w:ind w:firstLine="709"/>
        <w:contextualSpacing/>
        <w:jc w:val="both"/>
        <w:rPr>
          <w:rStyle w:val="notranslate"/>
          <w:sz w:val="20"/>
          <w:szCs w:val="20"/>
        </w:rPr>
      </w:pPr>
      <w:r w:rsidRPr="00492264">
        <w:rPr>
          <w:rStyle w:val="notranslate"/>
          <w:sz w:val="20"/>
          <w:szCs w:val="20"/>
        </w:rPr>
        <w:t>Цікавим є той факт, що Інтернет-торгівля відповідно до очікувань експертів продовжить набирати обертів і далі − на рисунку 1 представлений прогноз її розвитку по 2017 рік.</w:t>
      </w:r>
    </w:p>
    <w:p w:rsidR="00DB5D17" w:rsidRDefault="00DB5D17" w:rsidP="00DB5D17">
      <w:pPr>
        <w:pStyle w:val="a3"/>
        <w:spacing w:before="0" w:beforeAutospacing="0" w:after="0" w:afterAutospacing="0"/>
        <w:ind w:firstLine="709"/>
        <w:contextualSpacing/>
        <w:jc w:val="both"/>
        <w:rPr>
          <w:rStyle w:val="notranslate"/>
          <w:sz w:val="20"/>
          <w:szCs w:val="20"/>
        </w:rPr>
      </w:pPr>
    </w:p>
    <w:p w:rsidR="00DB5D17" w:rsidRPr="00492264" w:rsidRDefault="00DB5D17" w:rsidP="00DB5D17">
      <w:pPr>
        <w:contextualSpacing/>
        <w:jc w:val="both"/>
        <w:rPr>
          <w:b/>
          <w:sz w:val="20"/>
          <w:szCs w:val="20"/>
        </w:rPr>
      </w:pPr>
      <w:r w:rsidRPr="00492264">
        <w:rPr>
          <w:noProof/>
          <w:sz w:val="20"/>
          <w:szCs w:val="20"/>
        </w:rPr>
        <w:drawing>
          <wp:anchor distT="0" distB="0" distL="114300" distR="114300" simplePos="0" relativeHeight="251659264" behindDoc="0" locked="0" layoutInCell="1" allowOverlap="1" wp14:anchorId="302EA3DE" wp14:editId="085153B1">
            <wp:simplePos x="0" y="0"/>
            <wp:positionH relativeFrom="column">
              <wp:posOffset>0</wp:posOffset>
            </wp:positionH>
            <wp:positionV relativeFrom="paragraph">
              <wp:posOffset>50800</wp:posOffset>
            </wp:positionV>
            <wp:extent cx="6109335" cy="3429000"/>
            <wp:effectExtent l="0" t="0" r="5715"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9335" cy="3429000"/>
                    </a:xfrm>
                    <a:prstGeom prst="rect">
                      <a:avLst/>
                    </a:prstGeom>
                    <a:noFill/>
                    <a:ln>
                      <a:noFill/>
                    </a:ln>
                  </pic:spPr>
                </pic:pic>
              </a:graphicData>
            </a:graphic>
          </wp:anchor>
        </w:drawing>
      </w: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rPr>
          <w:b/>
          <w:sz w:val="20"/>
          <w:szCs w:val="20"/>
        </w:rPr>
      </w:pPr>
    </w:p>
    <w:p w:rsidR="00DB5D17" w:rsidRPr="00492264" w:rsidRDefault="00DB5D17" w:rsidP="00DB5D17">
      <w:pPr>
        <w:contextualSpacing/>
        <w:jc w:val="both"/>
        <w:outlineLvl w:val="0"/>
        <w:rPr>
          <w:b/>
          <w:sz w:val="20"/>
          <w:szCs w:val="20"/>
        </w:rPr>
      </w:pPr>
    </w:p>
    <w:p w:rsidR="00DB5D17" w:rsidRPr="00492264" w:rsidRDefault="00DB5D17" w:rsidP="00DB5D17">
      <w:pPr>
        <w:contextualSpacing/>
        <w:jc w:val="both"/>
        <w:outlineLvl w:val="0"/>
        <w:rPr>
          <w:b/>
          <w:sz w:val="20"/>
          <w:szCs w:val="20"/>
        </w:rPr>
      </w:pPr>
    </w:p>
    <w:p w:rsidR="00DB5D17" w:rsidRPr="00492264" w:rsidRDefault="00DB5D17" w:rsidP="00DB5D17">
      <w:pPr>
        <w:contextualSpacing/>
        <w:jc w:val="both"/>
        <w:outlineLvl w:val="0"/>
        <w:rPr>
          <w:b/>
          <w:sz w:val="20"/>
          <w:szCs w:val="20"/>
        </w:rPr>
      </w:pPr>
    </w:p>
    <w:p w:rsidR="00DB5D17" w:rsidRPr="00492264" w:rsidRDefault="00DB5D17" w:rsidP="00DB5D17">
      <w:pPr>
        <w:contextualSpacing/>
        <w:jc w:val="both"/>
        <w:outlineLvl w:val="0"/>
        <w:rPr>
          <w:b/>
          <w:sz w:val="20"/>
          <w:szCs w:val="20"/>
        </w:rPr>
      </w:pPr>
    </w:p>
    <w:p w:rsidR="00DB5D17" w:rsidRPr="00492264" w:rsidRDefault="00DB5D17" w:rsidP="00DB5D17">
      <w:pPr>
        <w:contextualSpacing/>
        <w:jc w:val="both"/>
        <w:outlineLvl w:val="0"/>
        <w:rPr>
          <w:b/>
          <w:sz w:val="20"/>
          <w:szCs w:val="20"/>
        </w:rPr>
      </w:pPr>
    </w:p>
    <w:p w:rsidR="00DB5D17" w:rsidRPr="00492264" w:rsidRDefault="00DB5D17" w:rsidP="00DB5D17">
      <w:pPr>
        <w:contextualSpacing/>
        <w:jc w:val="center"/>
        <w:outlineLvl w:val="0"/>
        <w:rPr>
          <w:b/>
          <w:sz w:val="20"/>
          <w:szCs w:val="20"/>
        </w:rPr>
      </w:pPr>
      <w:r w:rsidRPr="00492264">
        <w:rPr>
          <w:b/>
          <w:sz w:val="20"/>
          <w:szCs w:val="20"/>
        </w:rPr>
        <w:t xml:space="preserve">Рис. 1. </w:t>
      </w:r>
      <w:bookmarkStart w:id="0" w:name="OLE_LINK208"/>
      <w:bookmarkStart w:id="1" w:name="OLE_LINK209"/>
      <w:bookmarkStart w:id="2" w:name="OLE_LINK317"/>
      <w:bookmarkStart w:id="3" w:name="OLE_LINK318"/>
      <w:r w:rsidRPr="00492264">
        <w:rPr>
          <w:b/>
          <w:sz w:val="20"/>
          <w:szCs w:val="20"/>
        </w:rPr>
        <w:t>Обсяги продажів Інтернет-магазинів світу, (трлн. дол. США</w:t>
      </w:r>
      <w:bookmarkEnd w:id="0"/>
      <w:bookmarkEnd w:id="1"/>
      <w:r w:rsidRPr="00492264">
        <w:rPr>
          <w:b/>
          <w:sz w:val="20"/>
          <w:szCs w:val="20"/>
        </w:rPr>
        <w:t>).</w:t>
      </w:r>
    </w:p>
    <w:p w:rsidR="00DB5D17" w:rsidRPr="00D72FCE" w:rsidRDefault="00DB5D17" w:rsidP="00DB5D17">
      <w:pPr>
        <w:contextualSpacing/>
        <w:jc w:val="both"/>
        <w:outlineLvl w:val="0"/>
        <w:rPr>
          <w:rStyle w:val="notranslate"/>
          <w:i/>
          <w:sz w:val="20"/>
          <w:szCs w:val="20"/>
        </w:rPr>
      </w:pPr>
      <w:bookmarkStart w:id="4" w:name="OLE_LINK319"/>
      <w:bookmarkStart w:id="5" w:name="OLE_LINK320"/>
      <w:bookmarkStart w:id="6" w:name="OLE_LINK321"/>
      <w:bookmarkEnd w:id="2"/>
      <w:bookmarkEnd w:id="3"/>
      <w:r w:rsidRPr="00D72FCE">
        <w:rPr>
          <w:i/>
          <w:sz w:val="20"/>
          <w:szCs w:val="20"/>
        </w:rPr>
        <w:t xml:space="preserve">Примітка. Побудовано автором за даними агентства </w:t>
      </w:r>
      <w:r w:rsidRPr="00D72FCE">
        <w:rPr>
          <w:rStyle w:val="notranslate"/>
          <w:i/>
          <w:sz w:val="20"/>
          <w:szCs w:val="20"/>
        </w:rPr>
        <w:t>eMarketer's.</w:t>
      </w:r>
    </w:p>
    <w:p w:rsidR="00DB5D17" w:rsidRPr="00492264" w:rsidRDefault="00DB5D17" w:rsidP="00DB5D17">
      <w:pPr>
        <w:pStyle w:val="1"/>
        <w:tabs>
          <w:tab w:val="left" w:pos="993"/>
          <w:tab w:val="left" w:pos="1276"/>
        </w:tabs>
        <w:ind w:firstLine="709"/>
        <w:jc w:val="both"/>
        <w:rPr>
          <w:rFonts w:ascii="Times New Roman" w:eastAsia="MS Mincho" w:hAnsi="Times New Roman"/>
          <w:sz w:val="20"/>
          <w:szCs w:val="20"/>
          <w:lang w:eastAsia="ja-JP"/>
        </w:rPr>
      </w:pPr>
    </w:p>
    <w:p w:rsidR="00DB5D17" w:rsidRPr="00492264" w:rsidRDefault="00DB5D17" w:rsidP="00DB5D17">
      <w:pPr>
        <w:pStyle w:val="1"/>
        <w:tabs>
          <w:tab w:val="left" w:pos="993"/>
          <w:tab w:val="left" w:pos="1276"/>
        </w:tabs>
        <w:ind w:firstLine="709"/>
        <w:jc w:val="both"/>
        <w:rPr>
          <w:rFonts w:ascii="Times New Roman" w:hAnsi="Times New Roman"/>
          <w:sz w:val="20"/>
          <w:szCs w:val="20"/>
        </w:rPr>
      </w:pPr>
      <w:r w:rsidRPr="00492264">
        <w:rPr>
          <w:rStyle w:val="notranslate"/>
          <w:rFonts w:ascii="Times New Roman" w:hAnsi="Times New Roman"/>
          <w:sz w:val="20"/>
          <w:szCs w:val="20"/>
        </w:rPr>
        <w:t>Темпи розвитку Інтернет-торгівлі на даний момент істотно вище темпів розвитку світової торгівлі в цілому, що фіксується, в першу чергу, Світовою організацією торгівлі.</w:t>
      </w:r>
      <w:r w:rsidRPr="00492264">
        <w:rPr>
          <w:rStyle w:val="apple-converted-space"/>
          <w:lang w:val="en-US"/>
        </w:rPr>
        <w:t> </w:t>
      </w:r>
      <w:r w:rsidRPr="00492264">
        <w:rPr>
          <w:rFonts w:ascii="Times New Roman" w:hAnsi="Times New Roman"/>
          <w:sz w:val="20"/>
          <w:szCs w:val="20"/>
        </w:rPr>
        <w:t>Так, загальний обсяг світової торгівлі товарами в 2014 році збільшився лише на 4,7%.</w:t>
      </w:r>
    </w:p>
    <w:p w:rsidR="00DB5D17" w:rsidRPr="00492264" w:rsidRDefault="00DB5D17" w:rsidP="00DB5D17">
      <w:pPr>
        <w:pStyle w:val="1"/>
        <w:tabs>
          <w:tab w:val="left" w:pos="993"/>
          <w:tab w:val="left" w:pos="1276"/>
        </w:tabs>
        <w:ind w:firstLine="709"/>
        <w:jc w:val="both"/>
        <w:rPr>
          <w:rFonts w:ascii="Times New Roman" w:hAnsi="Times New Roman"/>
          <w:sz w:val="20"/>
          <w:szCs w:val="20"/>
        </w:rPr>
      </w:pPr>
      <w:r w:rsidRPr="00492264">
        <w:rPr>
          <w:rFonts w:ascii="Times New Roman" w:hAnsi="Times New Roman"/>
          <w:sz w:val="20"/>
          <w:szCs w:val="20"/>
        </w:rPr>
        <w:t xml:space="preserve">Глобальна Інтернет-аудиторія продовжує швидко рости в 2015 році зі світовою базою користувачів широкосмугового Інтернету (у тому числі фіксованого та мобільного) . Така велика база високошвидкісних інтернет-користувачів закликає бізнес до інновацій, щоб запропонувати постійно більш різноманітні онлайн-послуги та товари. Сектори, які розвиваються швидкими темпами в Інтернеті включають в себе продаж розважальних продуктів, квитки на заходи, подорожі, одяг і побутова електроніка [3]. </w:t>
      </w:r>
    </w:p>
    <w:p w:rsidR="00DB5D17" w:rsidRPr="00492264" w:rsidRDefault="00DB5D17" w:rsidP="00DB5D17">
      <w:pPr>
        <w:contextualSpacing/>
        <w:jc w:val="both"/>
        <w:rPr>
          <w:sz w:val="20"/>
          <w:szCs w:val="20"/>
        </w:rPr>
      </w:pPr>
      <w:r w:rsidRPr="00492264">
        <w:rPr>
          <w:sz w:val="20"/>
          <w:szCs w:val="20"/>
        </w:rPr>
        <w:tab/>
        <w:t>Серед основних тенденцій по країнах можна виділити наступні:</w:t>
      </w:r>
    </w:p>
    <w:p w:rsidR="00DB5D17" w:rsidRPr="00492264" w:rsidRDefault="00DB5D17" w:rsidP="00DB5D17">
      <w:pPr>
        <w:numPr>
          <w:ilvl w:val="0"/>
          <w:numId w:val="1"/>
        </w:numPr>
        <w:tabs>
          <w:tab w:val="left" w:pos="0"/>
          <w:tab w:val="left" w:pos="851"/>
          <w:tab w:val="left" w:pos="993"/>
        </w:tabs>
        <w:ind w:left="0" w:firstLine="709"/>
        <w:contextualSpacing/>
        <w:jc w:val="both"/>
        <w:rPr>
          <w:sz w:val="20"/>
          <w:szCs w:val="20"/>
        </w:rPr>
      </w:pPr>
      <w:r w:rsidRPr="00492264">
        <w:rPr>
          <w:sz w:val="20"/>
          <w:szCs w:val="20"/>
        </w:rPr>
        <w:t xml:space="preserve">У Великобританії та інших розвинених ринках, де покупці воліють забирати товари в спеціальних центрах видачі, найважливішим компонентом стратегії </w:t>
      </w:r>
      <w:bookmarkStart w:id="7" w:name="OLE_LINK1"/>
      <w:bookmarkStart w:id="8" w:name="OLE_LINK2"/>
      <w:r w:rsidRPr="00492264">
        <w:rPr>
          <w:sz w:val="20"/>
          <w:szCs w:val="20"/>
        </w:rPr>
        <w:t xml:space="preserve">Інтернет-торгівлі </w:t>
      </w:r>
      <w:bookmarkEnd w:id="7"/>
      <w:bookmarkEnd w:id="8"/>
      <w:r w:rsidRPr="00492264">
        <w:rPr>
          <w:sz w:val="20"/>
          <w:szCs w:val="20"/>
        </w:rPr>
        <w:t>є модель «click and collect».</w:t>
      </w:r>
    </w:p>
    <w:p w:rsidR="00DB5D17" w:rsidRPr="00492264" w:rsidRDefault="00DB5D17" w:rsidP="00DB5D17">
      <w:pPr>
        <w:numPr>
          <w:ilvl w:val="0"/>
          <w:numId w:val="1"/>
        </w:numPr>
        <w:tabs>
          <w:tab w:val="left" w:pos="993"/>
        </w:tabs>
        <w:ind w:left="0" w:firstLine="709"/>
        <w:contextualSpacing/>
        <w:jc w:val="both"/>
        <w:rPr>
          <w:sz w:val="20"/>
          <w:szCs w:val="20"/>
        </w:rPr>
      </w:pPr>
      <w:r w:rsidRPr="00492264">
        <w:rPr>
          <w:sz w:val="20"/>
          <w:szCs w:val="20"/>
        </w:rPr>
        <w:t>Німеччина знаходиться на другому місці по обороту ринку Інтернет-торгівлі в Європі. Зростання обсягів Інтернет-торгівлі обумовлюється зро- станням попиту на великі об'єкти нерухомості (під розподільні центри) з боку вузькоспеціалізованих торговців.</w:t>
      </w:r>
    </w:p>
    <w:p w:rsidR="00DB5D17" w:rsidRPr="00492264" w:rsidRDefault="00DB5D17" w:rsidP="00DB5D17">
      <w:pPr>
        <w:numPr>
          <w:ilvl w:val="0"/>
          <w:numId w:val="1"/>
        </w:numPr>
        <w:tabs>
          <w:tab w:val="left" w:pos="993"/>
        </w:tabs>
        <w:ind w:left="0" w:firstLine="709"/>
        <w:contextualSpacing/>
        <w:jc w:val="both"/>
        <w:rPr>
          <w:sz w:val="20"/>
          <w:szCs w:val="20"/>
        </w:rPr>
      </w:pPr>
      <w:r w:rsidRPr="00492264">
        <w:rPr>
          <w:sz w:val="20"/>
          <w:szCs w:val="20"/>
        </w:rPr>
        <w:t>В Австралії стрімко зростає рівень автоматизації онлайн-торгівлі. У майбутньому тут будуть поширеними спеціалізовані логістичні об'єкти. Тут стає все популярнішою модель видачі товарів через осередки. А також компанії, які пропонують послуги видачі-повернення товарів.</w:t>
      </w:r>
    </w:p>
    <w:p w:rsidR="00DB5D17" w:rsidRPr="00492264" w:rsidRDefault="00DB5D17" w:rsidP="00DB5D17">
      <w:pPr>
        <w:numPr>
          <w:ilvl w:val="0"/>
          <w:numId w:val="1"/>
        </w:numPr>
        <w:tabs>
          <w:tab w:val="left" w:pos="993"/>
        </w:tabs>
        <w:ind w:left="0" w:firstLine="709"/>
        <w:contextualSpacing/>
        <w:jc w:val="both"/>
        <w:rPr>
          <w:sz w:val="20"/>
          <w:szCs w:val="20"/>
        </w:rPr>
      </w:pPr>
      <w:r w:rsidRPr="00492264">
        <w:rPr>
          <w:sz w:val="20"/>
          <w:szCs w:val="20"/>
        </w:rPr>
        <w:t>В Америці, за оцінками експертів, онлайн-торгівля становить близько 30% попиту на оптові складські формати. Прямо біля основних місць онлайн-продажів торговельні мережі відкривають великі розподільні центри, а поруч з невеликими містами − середні склади. Це дозволяє забезпечити клієнтам всієї країни доставку товарів уже в день оформлення замовлення.</w:t>
      </w:r>
    </w:p>
    <w:p w:rsidR="00DB5D17" w:rsidRPr="00492264" w:rsidRDefault="00DB5D17" w:rsidP="00DB5D17">
      <w:pPr>
        <w:numPr>
          <w:ilvl w:val="0"/>
          <w:numId w:val="1"/>
        </w:numPr>
        <w:tabs>
          <w:tab w:val="left" w:pos="993"/>
        </w:tabs>
        <w:ind w:left="0" w:firstLine="709"/>
        <w:contextualSpacing/>
        <w:jc w:val="both"/>
        <w:rPr>
          <w:sz w:val="20"/>
          <w:szCs w:val="20"/>
        </w:rPr>
      </w:pPr>
      <w:r w:rsidRPr="00492264">
        <w:rPr>
          <w:sz w:val="20"/>
          <w:szCs w:val="20"/>
        </w:rPr>
        <w:t>У КНР перші складські приміщення (для торгівлі через інтернет) були зосереджені, в основному, в Пекіні, Шанхаї і Гуанчжоу. Однак з 2011 року основні учасники китайського ринку Інтернет-торгівлі почали створювати розподільні центри в інших регіонах, що активно розвиваються.</w:t>
      </w:r>
    </w:p>
    <w:p w:rsidR="00DB5D17" w:rsidRPr="00492264" w:rsidRDefault="00DB5D17" w:rsidP="00DB5D17">
      <w:pPr>
        <w:numPr>
          <w:ilvl w:val="0"/>
          <w:numId w:val="1"/>
        </w:numPr>
        <w:tabs>
          <w:tab w:val="left" w:pos="993"/>
        </w:tabs>
        <w:ind w:left="0" w:firstLine="709"/>
        <w:contextualSpacing/>
        <w:jc w:val="both"/>
        <w:rPr>
          <w:sz w:val="20"/>
          <w:szCs w:val="20"/>
        </w:rPr>
      </w:pPr>
      <w:r w:rsidRPr="00492264">
        <w:rPr>
          <w:sz w:val="20"/>
          <w:szCs w:val="20"/>
        </w:rPr>
        <w:t>У Бразилії бум Інтернет-торгівлі спровокував попит на відкриття складів. Найбільшим логістичним центром країни є м. Сан-Пауло. А нові логістичні розв'язки з'являються в безпосередній близькості до основних транспортних артерій − міст Баруері, Кажамар, Гуарульус.</w:t>
      </w:r>
    </w:p>
    <w:p w:rsidR="00DB5D17" w:rsidRPr="00492264" w:rsidRDefault="00DB5D17" w:rsidP="00DB5D17">
      <w:pPr>
        <w:numPr>
          <w:ilvl w:val="0"/>
          <w:numId w:val="1"/>
        </w:numPr>
        <w:tabs>
          <w:tab w:val="left" w:pos="993"/>
        </w:tabs>
        <w:ind w:left="0" w:firstLine="709"/>
        <w:contextualSpacing/>
        <w:jc w:val="both"/>
        <w:rPr>
          <w:sz w:val="20"/>
          <w:szCs w:val="20"/>
        </w:rPr>
      </w:pPr>
      <w:r w:rsidRPr="00492264">
        <w:rPr>
          <w:sz w:val="20"/>
          <w:szCs w:val="20"/>
        </w:rPr>
        <w:t>В Індії частка Інтернет-торгівлі становить менше 1% обсягу всього ринку рітейлу. Тут складські комплекси орієнтуються на обслуговування тільки великих міст. А складна податкова структура країни зумовила децентралізацію складських мереж. Більшість з них складається з малих об'єктів, розкиданих і різні райони країни. А податок на товари і послуги, поява яких очікується в недалекому майбутньому, стане хорошим стимулом і призведе до зростання попиту на великі розподільні центри.</w:t>
      </w:r>
    </w:p>
    <w:p w:rsidR="00DB5D17" w:rsidRPr="00492264" w:rsidRDefault="00DB5D17" w:rsidP="00DB5D17">
      <w:pPr>
        <w:contextualSpacing/>
        <w:jc w:val="both"/>
        <w:rPr>
          <w:sz w:val="20"/>
          <w:szCs w:val="20"/>
        </w:rPr>
      </w:pPr>
      <w:r w:rsidRPr="00492264">
        <w:rPr>
          <w:sz w:val="20"/>
          <w:szCs w:val="20"/>
        </w:rPr>
        <w:tab/>
        <w:t>Серед основних факторів, які вплинули на світову економіку в 2014 році, варто відзначити, в першу чергу, загальносвітові тенденції: економіка країн після кризи 2008 року розвивається повільно, що позначається і на обсягах світової торгівлі.</w:t>
      </w:r>
    </w:p>
    <w:p w:rsidR="00DB5D17" w:rsidRPr="00492264" w:rsidRDefault="00DB5D17" w:rsidP="00DB5D17">
      <w:pPr>
        <w:ind w:firstLine="709"/>
        <w:contextualSpacing/>
        <w:jc w:val="both"/>
        <w:rPr>
          <w:sz w:val="20"/>
          <w:szCs w:val="20"/>
        </w:rPr>
      </w:pPr>
      <w:r w:rsidRPr="00492264">
        <w:rPr>
          <w:sz w:val="20"/>
          <w:szCs w:val="20"/>
        </w:rPr>
        <w:t>Незважаючи на це, темпи зростання Інтернет-торгівлі лише трохи сповільнилися; більше того, багато аналітиків схильні навіть говорити про те, що криза в економіці 2009 року стала каталізатором розвитку Інтернет-торгівлі. І з цим можна погодитися − з одного боку споживачі шукають для себе більш вигідні угоди, а з іншого − вона, переважно, дозволяє компаніям нести менші витрати. Витрати на обслуговування Інтернет-магазину значно нижче, ніж на утримання звичайного [7]. Мова йде про економію на покупці або оренді приміщення та витратах на оплату праці. Переваги Інтернету як каналу продажів стали очевидні підприємцям всього світу (рис. 2):</w:t>
      </w:r>
    </w:p>
    <w:p w:rsidR="00DB5D17" w:rsidRPr="00492264" w:rsidRDefault="00DB5D17" w:rsidP="00DB5D17">
      <w:pPr>
        <w:ind w:firstLine="709"/>
        <w:contextualSpacing/>
        <w:jc w:val="both"/>
        <w:rPr>
          <w:sz w:val="20"/>
          <w:szCs w:val="20"/>
        </w:rPr>
      </w:pPr>
    </w:p>
    <w:p w:rsidR="00DB5D17" w:rsidRPr="00492264" w:rsidRDefault="00DB5D17" w:rsidP="00DB5D17">
      <w:pPr>
        <w:contextualSpacing/>
        <w:jc w:val="both"/>
        <w:rPr>
          <w:sz w:val="20"/>
          <w:szCs w:val="20"/>
        </w:rPr>
      </w:pPr>
      <w:r w:rsidRPr="00492264">
        <w:rPr>
          <w:noProof/>
          <w:sz w:val="20"/>
          <w:szCs w:val="20"/>
        </w:rPr>
        <w:lastRenderedPageBreak/>
        <w:drawing>
          <wp:inline distT="0" distB="0" distL="0" distR="0" wp14:anchorId="225AAE6F" wp14:editId="0BE2A91A">
            <wp:extent cx="6134100" cy="3086100"/>
            <wp:effectExtent l="19050" t="19050" r="19050" b="190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134100" cy="3086100"/>
                    </a:xfrm>
                    <a:prstGeom prst="rect">
                      <a:avLst/>
                    </a:prstGeom>
                    <a:noFill/>
                    <a:ln w="19050" cmpd="sng">
                      <a:solidFill>
                        <a:srgbClr val="000000"/>
                      </a:solidFill>
                      <a:miter lim="800000"/>
                      <a:headEnd/>
                      <a:tailEnd/>
                    </a:ln>
                    <a:effectLst/>
                  </pic:spPr>
                </pic:pic>
              </a:graphicData>
            </a:graphic>
          </wp:inline>
        </w:drawing>
      </w:r>
    </w:p>
    <w:p w:rsidR="00DB5D17" w:rsidRPr="00492264" w:rsidRDefault="00DB5D17" w:rsidP="00DB5D17">
      <w:pPr>
        <w:contextualSpacing/>
        <w:jc w:val="center"/>
        <w:outlineLvl w:val="0"/>
        <w:rPr>
          <w:b/>
          <w:bCs/>
          <w:sz w:val="20"/>
          <w:szCs w:val="20"/>
        </w:rPr>
      </w:pPr>
      <w:bookmarkStart w:id="9" w:name="OLE_LINK324"/>
      <w:bookmarkStart w:id="10" w:name="OLE_LINK325"/>
      <w:r w:rsidRPr="00492264">
        <w:rPr>
          <w:b/>
          <w:bCs/>
          <w:sz w:val="20"/>
          <w:szCs w:val="20"/>
        </w:rPr>
        <w:t>Рис. 2.Регіональна структура світової Інтернет-торгівлі в 2014 році, (%</w:t>
      </w:r>
      <w:bookmarkEnd w:id="9"/>
      <w:bookmarkEnd w:id="10"/>
      <w:r w:rsidRPr="00492264">
        <w:rPr>
          <w:b/>
          <w:bCs/>
          <w:sz w:val="20"/>
          <w:szCs w:val="20"/>
        </w:rPr>
        <w:t>).</w:t>
      </w:r>
    </w:p>
    <w:p w:rsidR="00DB5D17" w:rsidRPr="00D72FCE" w:rsidRDefault="00DB5D17" w:rsidP="00DB5D17">
      <w:pPr>
        <w:contextualSpacing/>
        <w:jc w:val="both"/>
        <w:outlineLvl w:val="0"/>
        <w:rPr>
          <w:rStyle w:val="notranslate"/>
          <w:i/>
          <w:sz w:val="20"/>
          <w:szCs w:val="20"/>
        </w:rPr>
      </w:pPr>
      <w:bookmarkStart w:id="11" w:name="OLE_LINK326"/>
      <w:bookmarkStart w:id="12" w:name="OLE_LINK327"/>
      <w:r w:rsidRPr="00D72FCE">
        <w:rPr>
          <w:i/>
          <w:sz w:val="20"/>
          <w:szCs w:val="20"/>
        </w:rPr>
        <w:t xml:space="preserve">Примітка. Побудовано автором за даними агентства </w:t>
      </w:r>
      <w:r w:rsidRPr="00D72FCE">
        <w:rPr>
          <w:rStyle w:val="notranslate"/>
          <w:i/>
          <w:sz w:val="20"/>
          <w:szCs w:val="20"/>
        </w:rPr>
        <w:t>eMarketer's.</w:t>
      </w:r>
    </w:p>
    <w:p w:rsidR="00DB5D17" w:rsidRPr="00492264" w:rsidRDefault="00DB5D17" w:rsidP="00DB5D17">
      <w:pPr>
        <w:contextualSpacing/>
        <w:jc w:val="both"/>
        <w:rPr>
          <w:rStyle w:val="notranslate"/>
          <w:sz w:val="20"/>
          <w:szCs w:val="20"/>
        </w:rPr>
      </w:pPr>
    </w:p>
    <w:p w:rsidR="00DB5D17" w:rsidRPr="00492264" w:rsidRDefault="00DB5D17" w:rsidP="00DB5D17">
      <w:pPr>
        <w:ind w:firstLine="709"/>
        <w:contextualSpacing/>
        <w:jc w:val="both"/>
        <w:rPr>
          <w:sz w:val="20"/>
          <w:szCs w:val="20"/>
        </w:rPr>
      </w:pPr>
      <w:r w:rsidRPr="00492264">
        <w:rPr>
          <w:bCs/>
          <w:sz w:val="20"/>
          <w:szCs w:val="20"/>
        </w:rPr>
        <w:t>Як видно з рис. 2 н</w:t>
      </w:r>
      <w:r w:rsidRPr="00492264">
        <w:rPr>
          <w:sz w:val="20"/>
          <w:szCs w:val="20"/>
        </w:rPr>
        <w:t>айбільшу частку становлять покупці з Північної Америки, а на другому місці − Азіатсько-Тихоокеанського регіону. Тим не менш, експерти eMarketer прогнозують, що після 2015 року ситуація зміниться, і Азія вийде на перше місце в світі, майже в два рази обігнав Північну Америку за електронним товарообігом. Багато в чому це пов'язано з очікуваним інтенсивним економічним зростанням Азіатських країн, що розвиваються. </w:t>
      </w:r>
    </w:p>
    <w:p w:rsidR="00DB5D17" w:rsidRPr="00492264" w:rsidRDefault="00DB5D17" w:rsidP="00DB5D17">
      <w:pPr>
        <w:ind w:firstLine="709"/>
        <w:contextualSpacing/>
        <w:jc w:val="both"/>
        <w:rPr>
          <w:sz w:val="20"/>
          <w:szCs w:val="20"/>
        </w:rPr>
      </w:pPr>
      <w:r w:rsidRPr="00492264">
        <w:rPr>
          <w:sz w:val="20"/>
          <w:szCs w:val="20"/>
        </w:rPr>
        <w:t>Як наголошується в доповіді Global Wealth 2014, «З урахуванням прогнозованого сукупного темпу річного зростання на рівні 10,5% приватний капітал у всьому регіоні (АТР без урахування Японії) зросте до оціночних 61 трлн. дол.США  до кінця 2018 року. З цими темпами регіон в 2015 році змістить Західну Європу з другого місця в рейтингу, а в 2018 році позбавить Північну Америку статусу найбагатшого (регіону)».</w:t>
      </w:r>
    </w:p>
    <w:p w:rsidR="00DB5D17" w:rsidRPr="00492264" w:rsidRDefault="00DB5D17" w:rsidP="00DB5D17">
      <w:pPr>
        <w:ind w:firstLine="709"/>
        <w:contextualSpacing/>
        <w:jc w:val="both"/>
        <w:rPr>
          <w:sz w:val="20"/>
          <w:szCs w:val="20"/>
        </w:rPr>
      </w:pPr>
      <w:r w:rsidRPr="00492264">
        <w:rPr>
          <w:sz w:val="20"/>
          <w:szCs w:val="20"/>
        </w:rPr>
        <w:t>При цьому, для країн Азії характерна одна особливість: в даному регіоні частка Інтернет-покупців становить 46% від їх загального числа в світі, в той час як число зареєстрованих користувачів всього 16,9% населення регіону. Очікувана інформатизація регіону надалі також сприятиме зростанню темпів розвитку світової торгівлі.</w:t>
      </w:r>
    </w:p>
    <w:p w:rsidR="00DB5D17" w:rsidRPr="00492264" w:rsidRDefault="00DB5D17" w:rsidP="00DB5D17">
      <w:pPr>
        <w:ind w:firstLine="709"/>
        <w:contextualSpacing/>
        <w:jc w:val="both"/>
        <w:rPr>
          <w:sz w:val="20"/>
          <w:szCs w:val="20"/>
        </w:rPr>
      </w:pPr>
      <w:bookmarkStart w:id="13" w:name="OLE_LINK212"/>
      <w:bookmarkStart w:id="14" w:name="OLE_LINK213"/>
      <w:r w:rsidRPr="00492264">
        <w:rPr>
          <w:sz w:val="20"/>
          <w:szCs w:val="20"/>
        </w:rPr>
        <w:t>Що стосується структури по країнам, то за обсягами торгівлі зараз лідирують США і Китай. За прогнозами експертів після 2016 року вперед також вийдуть Аргентина, Мексика, Бразилія, Росія, Італія. При цьому, темпи зростання Інтернет-торгівлі Китаю, як і раніше, залишаться найвищими (див.Табл. 1), [6].</w:t>
      </w:r>
      <w:bookmarkStart w:id="15" w:name="OLE_LINK216"/>
      <w:bookmarkStart w:id="16" w:name="OLE_LINK217"/>
    </w:p>
    <w:p w:rsidR="00DB5D17" w:rsidRDefault="00DB5D17" w:rsidP="00DB5D17">
      <w:pPr>
        <w:contextualSpacing/>
        <w:jc w:val="right"/>
        <w:outlineLvl w:val="0"/>
        <w:rPr>
          <w:b/>
          <w:i/>
          <w:sz w:val="20"/>
          <w:szCs w:val="20"/>
          <w:lang w:val="uk-UA"/>
        </w:rPr>
      </w:pPr>
    </w:p>
    <w:p w:rsidR="00DB5D17" w:rsidRDefault="00DB5D17" w:rsidP="00DB5D17">
      <w:pPr>
        <w:contextualSpacing/>
        <w:jc w:val="right"/>
        <w:outlineLvl w:val="0"/>
        <w:rPr>
          <w:b/>
          <w:i/>
          <w:sz w:val="20"/>
          <w:szCs w:val="20"/>
          <w:lang w:val="uk-UA"/>
        </w:rPr>
      </w:pPr>
    </w:p>
    <w:p w:rsidR="00DB5D17" w:rsidRPr="00DD745C" w:rsidRDefault="00DB5D17" w:rsidP="00DB5D17">
      <w:pPr>
        <w:contextualSpacing/>
        <w:jc w:val="right"/>
        <w:outlineLvl w:val="0"/>
        <w:rPr>
          <w:b/>
          <w:i/>
          <w:sz w:val="20"/>
          <w:szCs w:val="20"/>
          <w:lang w:val="uk-UA"/>
        </w:rPr>
      </w:pPr>
    </w:p>
    <w:p w:rsidR="00DB5D17" w:rsidRPr="00D72FCE" w:rsidRDefault="00DB5D17" w:rsidP="00DB5D17">
      <w:pPr>
        <w:contextualSpacing/>
        <w:jc w:val="right"/>
        <w:outlineLvl w:val="0"/>
        <w:rPr>
          <w:b/>
          <w:i/>
          <w:sz w:val="20"/>
          <w:szCs w:val="20"/>
        </w:rPr>
      </w:pPr>
      <w:r w:rsidRPr="00D72FCE">
        <w:rPr>
          <w:b/>
          <w:i/>
          <w:sz w:val="20"/>
          <w:szCs w:val="20"/>
        </w:rPr>
        <w:t>Таблиця 1</w:t>
      </w:r>
    </w:p>
    <w:p w:rsidR="00DB5D17" w:rsidRPr="00492264" w:rsidRDefault="00DB5D17" w:rsidP="00DB5D17">
      <w:pPr>
        <w:contextualSpacing/>
        <w:jc w:val="center"/>
        <w:outlineLvl w:val="0"/>
        <w:rPr>
          <w:b/>
          <w:sz w:val="20"/>
          <w:szCs w:val="20"/>
        </w:rPr>
      </w:pPr>
      <w:r w:rsidRPr="00492264">
        <w:rPr>
          <w:b/>
          <w:sz w:val="20"/>
          <w:szCs w:val="20"/>
        </w:rPr>
        <w:t>Прогноз темпів зростання Інтернет-торгівлі</w:t>
      </w:r>
    </w:p>
    <w:p w:rsidR="00DB5D17" w:rsidRPr="00492264" w:rsidRDefault="00DB5D17" w:rsidP="00DB5D17">
      <w:pPr>
        <w:contextualSpacing/>
        <w:jc w:val="center"/>
        <w:rPr>
          <w:b/>
          <w:sz w:val="20"/>
          <w:szCs w:val="20"/>
        </w:rPr>
      </w:pPr>
      <w:r w:rsidRPr="00492264">
        <w:rPr>
          <w:b/>
          <w:sz w:val="20"/>
          <w:szCs w:val="20"/>
        </w:rPr>
        <w:t>за окремими країнами світу,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5"/>
        <w:gridCol w:w="1216"/>
        <w:gridCol w:w="1216"/>
        <w:gridCol w:w="1216"/>
        <w:gridCol w:w="1216"/>
        <w:gridCol w:w="1217"/>
        <w:gridCol w:w="1393"/>
      </w:tblGrid>
      <w:tr w:rsidR="00DB5D17" w:rsidRPr="00492264" w:rsidTr="00D13B2B">
        <w:tc>
          <w:tcPr>
            <w:tcW w:w="2165" w:type="dxa"/>
            <w:vAlign w:val="center"/>
          </w:tcPr>
          <w:p w:rsidR="00DB5D17" w:rsidRPr="00492264" w:rsidRDefault="00DB5D17" w:rsidP="00D13B2B">
            <w:pPr>
              <w:contextualSpacing/>
              <w:jc w:val="center"/>
              <w:rPr>
                <w:b/>
                <w:sz w:val="20"/>
                <w:szCs w:val="20"/>
              </w:rPr>
            </w:pPr>
            <w:bookmarkStart w:id="17" w:name="OLE_LINK214"/>
            <w:bookmarkStart w:id="18" w:name="OLE_LINK215"/>
          </w:p>
        </w:tc>
        <w:tc>
          <w:tcPr>
            <w:tcW w:w="1216" w:type="dxa"/>
            <w:vAlign w:val="center"/>
          </w:tcPr>
          <w:p w:rsidR="00DB5D17" w:rsidRPr="00492264" w:rsidRDefault="00DB5D17" w:rsidP="00D13B2B">
            <w:pPr>
              <w:contextualSpacing/>
              <w:jc w:val="center"/>
              <w:rPr>
                <w:b/>
                <w:sz w:val="20"/>
                <w:szCs w:val="20"/>
              </w:rPr>
            </w:pPr>
            <w:r w:rsidRPr="00492264">
              <w:rPr>
                <w:b/>
                <w:sz w:val="20"/>
                <w:szCs w:val="20"/>
              </w:rPr>
              <w:t>2012</w:t>
            </w:r>
          </w:p>
        </w:tc>
        <w:tc>
          <w:tcPr>
            <w:tcW w:w="1216" w:type="dxa"/>
            <w:vAlign w:val="center"/>
          </w:tcPr>
          <w:p w:rsidR="00DB5D17" w:rsidRPr="00492264" w:rsidRDefault="00DB5D17" w:rsidP="00D13B2B">
            <w:pPr>
              <w:contextualSpacing/>
              <w:jc w:val="center"/>
              <w:rPr>
                <w:b/>
                <w:sz w:val="20"/>
                <w:szCs w:val="20"/>
              </w:rPr>
            </w:pPr>
            <w:r w:rsidRPr="00492264">
              <w:rPr>
                <w:b/>
                <w:sz w:val="20"/>
                <w:szCs w:val="20"/>
              </w:rPr>
              <w:t>2013</w:t>
            </w:r>
          </w:p>
        </w:tc>
        <w:tc>
          <w:tcPr>
            <w:tcW w:w="1216" w:type="dxa"/>
            <w:vAlign w:val="center"/>
          </w:tcPr>
          <w:p w:rsidR="00DB5D17" w:rsidRPr="00492264" w:rsidRDefault="00DB5D17" w:rsidP="00D13B2B">
            <w:pPr>
              <w:contextualSpacing/>
              <w:jc w:val="center"/>
              <w:rPr>
                <w:b/>
                <w:sz w:val="20"/>
                <w:szCs w:val="20"/>
              </w:rPr>
            </w:pPr>
            <w:r w:rsidRPr="00492264">
              <w:rPr>
                <w:b/>
                <w:sz w:val="20"/>
                <w:szCs w:val="20"/>
              </w:rPr>
              <w:t>2014</w:t>
            </w:r>
          </w:p>
        </w:tc>
        <w:tc>
          <w:tcPr>
            <w:tcW w:w="1216" w:type="dxa"/>
            <w:vAlign w:val="center"/>
          </w:tcPr>
          <w:p w:rsidR="00DB5D17" w:rsidRPr="00492264" w:rsidRDefault="00DB5D17" w:rsidP="00D13B2B">
            <w:pPr>
              <w:contextualSpacing/>
              <w:jc w:val="center"/>
              <w:rPr>
                <w:b/>
                <w:sz w:val="20"/>
                <w:szCs w:val="20"/>
              </w:rPr>
            </w:pPr>
            <w:r w:rsidRPr="00492264">
              <w:rPr>
                <w:b/>
                <w:sz w:val="20"/>
                <w:szCs w:val="20"/>
              </w:rPr>
              <w:t>2015</w:t>
            </w:r>
          </w:p>
        </w:tc>
        <w:tc>
          <w:tcPr>
            <w:tcW w:w="1217" w:type="dxa"/>
            <w:vAlign w:val="center"/>
          </w:tcPr>
          <w:p w:rsidR="00DB5D17" w:rsidRPr="00492264" w:rsidRDefault="00DB5D17" w:rsidP="00D13B2B">
            <w:pPr>
              <w:contextualSpacing/>
              <w:jc w:val="center"/>
              <w:rPr>
                <w:b/>
                <w:sz w:val="20"/>
                <w:szCs w:val="20"/>
              </w:rPr>
            </w:pPr>
            <w:r w:rsidRPr="00492264">
              <w:rPr>
                <w:b/>
                <w:sz w:val="20"/>
                <w:szCs w:val="20"/>
              </w:rPr>
              <w:t>2016</w:t>
            </w:r>
          </w:p>
        </w:tc>
        <w:tc>
          <w:tcPr>
            <w:tcW w:w="1393" w:type="dxa"/>
            <w:vAlign w:val="center"/>
          </w:tcPr>
          <w:p w:rsidR="00DB5D17" w:rsidRPr="00492264" w:rsidRDefault="00DB5D17" w:rsidP="00D13B2B">
            <w:pPr>
              <w:contextualSpacing/>
              <w:jc w:val="center"/>
              <w:rPr>
                <w:b/>
                <w:sz w:val="20"/>
                <w:szCs w:val="20"/>
              </w:rPr>
            </w:pPr>
            <w:r w:rsidRPr="00492264">
              <w:rPr>
                <w:b/>
                <w:sz w:val="20"/>
                <w:szCs w:val="20"/>
              </w:rPr>
              <w:t>2017</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Китай</w:t>
            </w:r>
          </w:p>
        </w:tc>
        <w:tc>
          <w:tcPr>
            <w:tcW w:w="1216" w:type="dxa"/>
            <w:vAlign w:val="center"/>
          </w:tcPr>
          <w:p w:rsidR="00DB5D17" w:rsidRPr="00492264" w:rsidRDefault="00DB5D17" w:rsidP="00D13B2B">
            <w:pPr>
              <w:contextualSpacing/>
              <w:jc w:val="center"/>
              <w:rPr>
                <w:sz w:val="20"/>
                <w:szCs w:val="20"/>
              </w:rPr>
            </w:pPr>
            <w:r w:rsidRPr="00492264">
              <w:rPr>
                <w:sz w:val="20"/>
                <w:szCs w:val="20"/>
              </w:rPr>
              <w:t>93,7%</w:t>
            </w:r>
          </w:p>
        </w:tc>
        <w:tc>
          <w:tcPr>
            <w:tcW w:w="1216" w:type="dxa"/>
            <w:vAlign w:val="center"/>
          </w:tcPr>
          <w:p w:rsidR="00DB5D17" w:rsidRPr="00492264" w:rsidRDefault="00DB5D17" w:rsidP="00D13B2B">
            <w:pPr>
              <w:contextualSpacing/>
              <w:jc w:val="center"/>
              <w:rPr>
                <w:sz w:val="20"/>
                <w:szCs w:val="20"/>
              </w:rPr>
            </w:pPr>
            <w:r w:rsidRPr="00492264">
              <w:rPr>
                <w:sz w:val="20"/>
                <w:szCs w:val="20"/>
              </w:rPr>
              <w:t>78,5%</w:t>
            </w:r>
          </w:p>
        </w:tc>
        <w:tc>
          <w:tcPr>
            <w:tcW w:w="1216" w:type="dxa"/>
            <w:vAlign w:val="center"/>
          </w:tcPr>
          <w:p w:rsidR="00DB5D17" w:rsidRPr="00492264" w:rsidRDefault="00DB5D17" w:rsidP="00D13B2B">
            <w:pPr>
              <w:contextualSpacing/>
              <w:jc w:val="center"/>
              <w:rPr>
                <w:sz w:val="20"/>
                <w:szCs w:val="20"/>
              </w:rPr>
            </w:pPr>
            <w:r w:rsidRPr="00492264">
              <w:rPr>
                <w:sz w:val="20"/>
                <w:szCs w:val="20"/>
              </w:rPr>
              <w:t>63,8%</w:t>
            </w:r>
          </w:p>
        </w:tc>
        <w:tc>
          <w:tcPr>
            <w:tcW w:w="1216" w:type="dxa"/>
            <w:vAlign w:val="center"/>
          </w:tcPr>
          <w:p w:rsidR="00DB5D17" w:rsidRPr="00492264" w:rsidRDefault="00DB5D17" w:rsidP="00D13B2B">
            <w:pPr>
              <w:contextualSpacing/>
              <w:jc w:val="center"/>
              <w:rPr>
                <w:sz w:val="20"/>
                <w:szCs w:val="20"/>
              </w:rPr>
            </w:pPr>
            <w:r w:rsidRPr="00492264">
              <w:rPr>
                <w:sz w:val="20"/>
                <w:szCs w:val="20"/>
              </w:rPr>
              <w:t>43,3%</w:t>
            </w:r>
          </w:p>
        </w:tc>
        <w:tc>
          <w:tcPr>
            <w:tcW w:w="1217" w:type="dxa"/>
            <w:vAlign w:val="center"/>
          </w:tcPr>
          <w:p w:rsidR="00DB5D17" w:rsidRPr="00492264" w:rsidRDefault="00DB5D17" w:rsidP="00D13B2B">
            <w:pPr>
              <w:contextualSpacing/>
              <w:jc w:val="center"/>
              <w:rPr>
                <w:sz w:val="20"/>
                <w:szCs w:val="20"/>
              </w:rPr>
            </w:pPr>
            <w:r w:rsidRPr="00492264">
              <w:rPr>
                <w:sz w:val="20"/>
                <w:szCs w:val="20"/>
              </w:rPr>
              <w:t>34,4%</w:t>
            </w:r>
          </w:p>
        </w:tc>
        <w:tc>
          <w:tcPr>
            <w:tcW w:w="1393" w:type="dxa"/>
            <w:vAlign w:val="center"/>
          </w:tcPr>
          <w:p w:rsidR="00DB5D17" w:rsidRPr="00492264" w:rsidRDefault="00DB5D17" w:rsidP="00D13B2B">
            <w:pPr>
              <w:contextualSpacing/>
              <w:jc w:val="center"/>
              <w:rPr>
                <w:sz w:val="20"/>
                <w:szCs w:val="20"/>
              </w:rPr>
            </w:pPr>
            <w:r w:rsidRPr="00492264">
              <w:rPr>
                <w:sz w:val="20"/>
                <w:szCs w:val="20"/>
              </w:rPr>
              <w:t>29,4%</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Індонезія</w:t>
            </w:r>
          </w:p>
        </w:tc>
        <w:tc>
          <w:tcPr>
            <w:tcW w:w="1216" w:type="dxa"/>
            <w:vAlign w:val="center"/>
          </w:tcPr>
          <w:p w:rsidR="00DB5D17" w:rsidRPr="00492264" w:rsidRDefault="00DB5D17" w:rsidP="00D13B2B">
            <w:pPr>
              <w:contextualSpacing/>
              <w:jc w:val="center"/>
              <w:rPr>
                <w:sz w:val="20"/>
                <w:szCs w:val="20"/>
              </w:rPr>
            </w:pPr>
            <w:r w:rsidRPr="00492264">
              <w:rPr>
                <w:sz w:val="20"/>
                <w:szCs w:val="20"/>
              </w:rPr>
              <w:t>85,0%</w:t>
            </w:r>
          </w:p>
        </w:tc>
        <w:tc>
          <w:tcPr>
            <w:tcW w:w="1216" w:type="dxa"/>
            <w:vAlign w:val="center"/>
          </w:tcPr>
          <w:p w:rsidR="00DB5D17" w:rsidRPr="00492264" w:rsidRDefault="00DB5D17" w:rsidP="00D13B2B">
            <w:pPr>
              <w:contextualSpacing/>
              <w:jc w:val="center"/>
              <w:rPr>
                <w:sz w:val="20"/>
                <w:szCs w:val="20"/>
              </w:rPr>
            </w:pPr>
            <w:r w:rsidRPr="00492264">
              <w:rPr>
                <w:sz w:val="20"/>
                <w:szCs w:val="20"/>
              </w:rPr>
              <w:t>71,3%</w:t>
            </w:r>
          </w:p>
        </w:tc>
        <w:tc>
          <w:tcPr>
            <w:tcW w:w="1216" w:type="dxa"/>
            <w:vAlign w:val="center"/>
          </w:tcPr>
          <w:p w:rsidR="00DB5D17" w:rsidRPr="00492264" w:rsidRDefault="00DB5D17" w:rsidP="00D13B2B">
            <w:pPr>
              <w:contextualSpacing/>
              <w:jc w:val="center"/>
              <w:rPr>
                <w:sz w:val="20"/>
                <w:szCs w:val="20"/>
              </w:rPr>
            </w:pPr>
            <w:r w:rsidRPr="00492264">
              <w:rPr>
                <w:sz w:val="20"/>
                <w:szCs w:val="20"/>
              </w:rPr>
              <w:t>45,1%</w:t>
            </w:r>
          </w:p>
        </w:tc>
        <w:tc>
          <w:tcPr>
            <w:tcW w:w="1216" w:type="dxa"/>
            <w:vAlign w:val="center"/>
          </w:tcPr>
          <w:p w:rsidR="00DB5D17" w:rsidRPr="00492264" w:rsidRDefault="00DB5D17" w:rsidP="00D13B2B">
            <w:pPr>
              <w:contextualSpacing/>
              <w:jc w:val="center"/>
              <w:rPr>
                <w:sz w:val="20"/>
                <w:szCs w:val="20"/>
              </w:rPr>
            </w:pPr>
            <w:r w:rsidRPr="00492264">
              <w:rPr>
                <w:sz w:val="20"/>
                <w:szCs w:val="20"/>
              </w:rPr>
              <w:t>37,2%</w:t>
            </w:r>
          </w:p>
        </w:tc>
        <w:tc>
          <w:tcPr>
            <w:tcW w:w="1217" w:type="dxa"/>
            <w:vAlign w:val="center"/>
          </w:tcPr>
          <w:p w:rsidR="00DB5D17" w:rsidRPr="00492264" w:rsidRDefault="00DB5D17" w:rsidP="00D13B2B">
            <w:pPr>
              <w:contextualSpacing/>
              <w:jc w:val="center"/>
              <w:rPr>
                <w:sz w:val="20"/>
                <w:szCs w:val="20"/>
              </w:rPr>
            </w:pPr>
            <w:r w:rsidRPr="00492264">
              <w:rPr>
                <w:sz w:val="20"/>
                <w:szCs w:val="20"/>
              </w:rPr>
              <w:t>26,0%</w:t>
            </w:r>
          </w:p>
        </w:tc>
        <w:tc>
          <w:tcPr>
            <w:tcW w:w="1393" w:type="dxa"/>
            <w:vAlign w:val="center"/>
          </w:tcPr>
          <w:p w:rsidR="00DB5D17" w:rsidRPr="00492264" w:rsidRDefault="00DB5D17" w:rsidP="00D13B2B">
            <w:pPr>
              <w:contextualSpacing/>
              <w:jc w:val="center"/>
              <w:rPr>
                <w:sz w:val="20"/>
                <w:szCs w:val="20"/>
              </w:rPr>
            </w:pPr>
            <w:r w:rsidRPr="00492264">
              <w:rPr>
                <w:sz w:val="20"/>
                <w:szCs w:val="20"/>
              </w:rPr>
              <w:t>22,0%</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Індія</w:t>
            </w:r>
          </w:p>
        </w:tc>
        <w:tc>
          <w:tcPr>
            <w:tcW w:w="1216" w:type="dxa"/>
            <w:vAlign w:val="center"/>
          </w:tcPr>
          <w:p w:rsidR="00DB5D17" w:rsidRPr="00492264" w:rsidRDefault="00DB5D17" w:rsidP="00D13B2B">
            <w:pPr>
              <w:contextualSpacing/>
              <w:jc w:val="center"/>
              <w:rPr>
                <w:sz w:val="20"/>
                <w:szCs w:val="20"/>
              </w:rPr>
            </w:pPr>
            <w:r w:rsidRPr="00492264">
              <w:rPr>
                <w:sz w:val="20"/>
                <w:szCs w:val="20"/>
              </w:rPr>
              <w:t>35,9%</w:t>
            </w:r>
          </w:p>
        </w:tc>
        <w:tc>
          <w:tcPr>
            <w:tcW w:w="1216" w:type="dxa"/>
            <w:vAlign w:val="center"/>
          </w:tcPr>
          <w:p w:rsidR="00DB5D17" w:rsidRPr="00492264" w:rsidRDefault="00DB5D17" w:rsidP="00D13B2B">
            <w:pPr>
              <w:contextualSpacing/>
              <w:jc w:val="center"/>
              <w:rPr>
                <w:sz w:val="20"/>
                <w:szCs w:val="20"/>
              </w:rPr>
            </w:pPr>
            <w:r w:rsidRPr="00492264">
              <w:rPr>
                <w:sz w:val="20"/>
                <w:szCs w:val="20"/>
              </w:rPr>
              <w:t>34,9%</w:t>
            </w:r>
          </w:p>
        </w:tc>
        <w:tc>
          <w:tcPr>
            <w:tcW w:w="1216" w:type="dxa"/>
            <w:vAlign w:val="center"/>
          </w:tcPr>
          <w:p w:rsidR="00DB5D17" w:rsidRPr="00492264" w:rsidRDefault="00DB5D17" w:rsidP="00D13B2B">
            <w:pPr>
              <w:contextualSpacing/>
              <w:jc w:val="center"/>
              <w:rPr>
                <w:sz w:val="20"/>
                <w:szCs w:val="20"/>
              </w:rPr>
            </w:pPr>
            <w:r w:rsidRPr="00492264">
              <w:rPr>
                <w:sz w:val="20"/>
                <w:szCs w:val="20"/>
              </w:rPr>
              <w:t>31,5%</w:t>
            </w:r>
          </w:p>
        </w:tc>
        <w:tc>
          <w:tcPr>
            <w:tcW w:w="1216" w:type="dxa"/>
            <w:vAlign w:val="center"/>
          </w:tcPr>
          <w:p w:rsidR="00DB5D17" w:rsidRPr="00492264" w:rsidRDefault="00DB5D17" w:rsidP="00D13B2B">
            <w:pPr>
              <w:contextualSpacing/>
              <w:jc w:val="center"/>
              <w:rPr>
                <w:sz w:val="20"/>
                <w:szCs w:val="20"/>
              </w:rPr>
            </w:pPr>
            <w:r w:rsidRPr="00492264">
              <w:rPr>
                <w:sz w:val="20"/>
                <w:szCs w:val="20"/>
              </w:rPr>
              <w:t>30,3%</w:t>
            </w:r>
          </w:p>
        </w:tc>
        <w:tc>
          <w:tcPr>
            <w:tcW w:w="1217" w:type="dxa"/>
            <w:vAlign w:val="center"/>
          </w:tcPr>
          <w:p w:rsidR="00DB5D17" w:rsidRPr="00492264" w:rsidRDefault="00DB5D17" w:rsidP="00D13B2B">
            <w:pPr>
              <w:contextualSpacing/>
              <w:jc w:val="center"/>
              <w:rPr>
                <w:sz w:val="20"/>
                <w:szCs w:val="20"/>
              </w:rPr>
            </w:pPr>
            <w:r w:rsidRPr="00492264">
              <w:rPr>
                <w:sz w:val="20"/>
                <w:szCs w:val="20"/>
              </w:rPr>
              <w:t>24,5%</w:t>
            </w:r>
          </w:p>
        </w:tc>
        <w:tc>
          <w:tcPr>
            <w:tcW w:w="1393" w:type="dxa"/>
            <w:vAlign w:val="center"/>
          </w:tcPr>
          <w:p w:rsidR="00DB5D17" w:rsidRPr="00492264" w:rsidRDefault="00DB5D17" w:rsidP="00D13B2B">
            <w:pPr>
              <w:contextualSpacing/>
              <w:jc w:val="center"/>
              <w:rPr>
                <w:sz w:val="20"/>
                <w:szCs w:val="20"/>
              </w:rPr>
            </w:pPr>
            <w:r w:rsidRPr="00492264">
              <w:rPr>
                <w:sz w:val="20"/>
                <w:szCs w:val="20"/>
              </w:rPr>
              <w:t>20,0%</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Аргентина</w:t>
            </w:r>
          </w:p>
        </w:tc>
        <w:tc>
          <w:tcPr>
            <w:tcW w:w="1216" w:type="dxa"/>
            <w:vAlign w:val="center"/>
          </w:tcPr>
          <w:p w:rsidR="00DB5D17" w:rsidRPr="00492264" w:rsidRDefault="00DB5D17" w:rsidP="00D13B2B">
            <w:pPr>
              <w:contextualSpacing/>
              <w:jc w:val="center"/>
              <w:rPr>
                <w:sz w:val="20"/>
                <w:szCs w:val="20"/>
              </w:rPr>
            </w:pPr>
            <w:r w:rsidRPr="00492264">
              <w:rPr>
                <w:sz w:val="20"/>
                <w:szCs w:val="20"/>
              </w:rPr>
              <w:t>31,1%</w:t>
            </w:r>
          </w:p>
        </w:tc>
        <w:tc>
          <w:tcPr>
            <w:tcW w:w="1216" w:type="dxa"/>
            <w:vAlign w:val="center"/>
          </w:tcPr>
          <w:p w:rsidR="00DB5D17" w:rsidRPr="00492264" w:rsidRDefault="00DB5D17" w:rsidP="00D13B2B">
            <w:pPr>
              <w:contextualSpacing/>
              <w:jc w:val="center"/>
              <w:rPr>
                <w:sz w:val="20"/>
                <w:szCs w:val="20"/>
              </w:rPr>
            </w:pPr>
            <w:r w:rsidRPr="00492264">
              <w:rPr>
                <w:sz w:val="20"/>
                <w:szCs w:val="20"/>
              </w:rPr>
              <w:t>6,3%</w:t>
            </w:r>
          </w:p>
        </w:tc>
        <w:tc>
          <w:tcPr>
            <w:tcW w:w="1216" w:type="dxa"/>
            <w:vAlign w:val="center"/>
          </w:tcPr>
          <w:p w:rsidR="00DB5D17" w:rsidRPr="00492264" w:rsidRDefault="00DB5D17" w:rsidP="00D13B2B">
            <w:pPr>
              <w:contextualSpacing/>
              <w:jc w:val="center"/>
              <w:rPr>
                <w:sz w:val="20"/>
                <w:szCs w:val="20"/>
              </w:rPr>
            </w:pPr>
            <w:r w:rsidRPr="00492264">
              <w:rPr>
                <w:sz w:val="20"/>
                <w:szCs w:val="20"/>
              </w:rPr>
              <w:t>24,0%</w:t>
            </w:r>
          </w:p>
        </w:tc>
        <w:tc>
          <w:tcPr>
            <w:tcW w:w="1216" w:type="dxa"/>
            <w:vAlign w:val="center"/>
          </w:tcPr>
          <w:p w:rsidR="00DB5D17" w:rsidRPr="00492264" w:rsidRDefault="00DB5D17" w:rsidP="00D13B2B">
            <w:pPr>
              <w:contextualSpacing/>
              <w:jc w:val="center"/>
              <w:rPr>
                <w:sz w:val="20"/>
                <w:szCs w:val="20"/>
              </w:rPr>
            </w:pPr>
            <w:r w:rsidRPr="00492264">
              <w:rPr>
                <w:sz w:val="20"/>
                <w:szCs w:val="20"/>
              </w:rPr>
              <w:t>18,0%</w:t>
            </w:r>
          </w:p>
        </w:tc>
        <w:tc>
          <w:tcPr>
            <w:tcW w:w="1217" w:type="dxa"/>
            <w:vAlign w:val="center"/>
          </w:tcPr>
          <w:p w:rsidR="00DB5D17" w:rsidRPr="00492264" w:rsidRDefault="00DB5D17" w:rsidP="00D13B2B">
            <w:pPr>
              <w:contextualSpacing/>
              <w:jc w:val="center"/>
              <w:rPr>
                <w:sz w:val="20"/>
                <w:szCs w:val="20"/>
              </w:rPr>
            </w:pPr>
            <w:r w:rsidRPr="00492264">
              <w:rPr>
                <w:sz w:val="20"/>
                <w:szCs w:val="20"/>
              </w:rPr>
              <w:t>12,0%</w:t>
            </w:r>
          </w:p>
        </w:tc>
        <w:tc>
          <w:tcPr>
            <w:tcW w:w="1393" w:type="dxa"/>
            <w:vAlign w:val="center"/>
          </w:tcPr>
          <w:p w:rsidR="00DB5D17" w:rsidRPr="00492264" w:rsidRDefault="00DB5D17" w:rsidP="00D13B2B">
            <w:pPr>
              <w:contextualSpacing/>
              <w:jc w:val="center"/>
              <w:rPr>
                <w:sz w:val="20"/>
                <w:szCs w:val="20"/>
              </w:rPr>
            </w:pPr>
            <w:r w:rsidRPr="00492264">
              <w:rPr>
                <w:sz w:val="20"/>
                <w:szCs w:val="20"/>
              </w:rPr>
              <w:t>10,0%</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Мексика</w:t>
            </w:r>
          </w:p>
        </w:tc>
        <w:tc>
          <w:tcPr>
            <w:tcW w:w="1216" w:type="dxa"/>
            <w:vAlign w:val="center"/>
          </w:tcPr>
          <w:p w:rsidR="00DB5D17" w:rsidRPr="00492264" w:rsidRDefault="00DB5D17" w:rsidP="00D13B2B">
            <w:pPr>
              <w:contextualSpacing/>
              <w:jc w:val="center"/>
              <w:rPr>
                <w:sz w:val="20"/>
                <w:szCs w:val="20"/>
              </w:rPr>
            </w:pPr>
            <w:r w:rsidRPr="00492264">
              <w:rPr>
                <w:sz w:val="20"/>
                <w:szCs w:val="20"/>
              </w:rPr>
              <w:t>55,8%</w:t>
            </w:r>
          </w:p>
        </w:tc>
        <w:tc>
          <w:tcPr>
            <w:tcW w:w="1216" w:type="dxa"/>
            <w:vAlign w:val="center"/>
          </w:tcPr>
          <w:p w:rsidR="00DB5D17" w:rsidRPr="00492264" w:rsidRDefault="00DB5D17" w:rsidP="00D13B2B">
            <w:pPr>
              <w:contextualSpacing/>
              <w:jc w:val="center"/>
              <w:rPr>
                <w:sz w:val="20"/>
                <w:szCs w:val="20"/>
              </w:rPr>
            </w:pPr>
            <w:r w:rsidRPr="00492264">
              <w:rPr>
                <w:sz w:val="20"/>
                <w:szCs w:val="20"/>
              </w:rPr>
              <w:t>41,9%</w:t>
            </w:r>
          </w:p>
        </w:tc>
        <w:tc>
          <w:tcPr>
            <w:tcW w:w="1216" w:type="dxa"/>
            <w:vAlign w:val="center"/>
          </w:tcPr>
          <w:p w:rsidR="00DB5D17" w:rsidRPr="00492264" w:rsidRDefault="00DB5D17" w:rsidP="00D13B2B">
            <w:pPr>
              <w:contextualSpacing/>
              <w:jc w:val="center"/>
              <w:rPr>
                <w:sz w:val="20"/>
                <w:szCs w:val="20"/>
              </w:rPr>
            </w:pPr>
            <w:r w:rsidRPr="00492264">
              <w:rPr>
                <w:sz w:val="20"/>
                <w:szCs w:val="20"/>
              </w:rPr>
              <w:t>20,0%</w:t>
            </w:r>
          </w:p>
        </w:tc>
        <w:tc>
          <w:tcPr>
            <w:tcW w:w="1216" w:type="dxa"/>
            <w:vAlign w:val="center"/>
          </w:tcPr>
          <w:p w:rsidR="00DB5D17" w:rsidRPr="00492264" w:rsidRDefault="00DB5D17" w:rsidP="00D13B2B">
            <w:pPr>
              <w:contextualSpacing/>
              <w:jc w:val="center"/>
              <w:rPr>
                <w:sz w:val="20"/>
                <w:szCs w:val="20"/>
              </w:rPr>
            </w:pPr>
            <w:r w:rsidRPr="00492264">
              <w:rPr>
                <w:sz w:val="20"/>
                <w:szCs w:val="20"/>
              </w:rPr>
              <w:t>14,5%</w:t>
            </w:r>
          </w:p>
        </w:tc>
        <w:tc>
          <w:tcPr>
            <w:tcW w:w="1217" w:type="dxa"/>
            <w:vAlign w:val="center"/>
          </w:tcPr>
          <w:p w:rsidR="00DB5D17" w:rsidRPr="00492264" w:rsidRDefault="00DB5D17" w:rsidP="00D13B2B">
            <w:pPr>
              <w:contextualSpacing/>
              <w:jc w:val="center"/>
              <w:rPr>
                <w:sz w:val="20"/>
                <w:szCs w:val="20"/>
              </w:rPr>
            </w:pPr>
            <w:r w:rsidRPr="00492264">
              <w:rPr>
                <w:sz w:val="20"/>
                <w:szCs w:val="20"/>
              </w:rPr>
              <w:t>10,0%</w:t>
            </w:r>
          </w:p>
        </w:tc>
        <w:tc>
          <w:tcPr>
            <w:tcW w:w="1393" w:type="dxa"/>
            <w:vAlign w:val="center"/>
          </w:tcPr>
          <w:p w:rsidR="00DB5D17" w:rsidRPr="00492264" w:rsidRDefault="00DB5D17" w:rsidP="00D13B2B">
            <w:pPr>
              <w:contextualSpacing/>
              <w:jc w:val="center"/>
              <w:rPr>
                <w:sz w:val="20"/>
                <w:szCs w:val="20"/>
              </w:rPr>
            </w:pPr>
            <w:r w:rsidRPr="00492264">
              <w:rPr>
                <w:sz w:val="20"/>
                <w:szCs w:val="20"/>
              </w:rPr>
              <w:t>5,0%</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Бразилія</w:t>
            </w:r>
          </w:p>
        </w:tc>
        <w:tc>
          <w:tcPr>
            <w:tcW w:w="1216" w:type="dxa"/>
            <w:vAlign w:val="center"/>
          </w:tcPr>
          <w:p w:rsidR="00DB5D17" w:rsidRPr="00492264" w:rsidRDefault="00DB5D17" w:rsidP="00D13B2B">
            <w:pPr>
              <w:contextualSpacing/>
              <w:jc w:val="center"/>
              <w:rPr>
                <w:sz w:val="20"/>
                <w:szCs w:val="20"/>
              </w:rPr>
            </w:pPr>
            <w:r w:rsidRPr="00492264">
              <w:rPr>
                <w:sz w:val="20"/>
                <w:szCs w:val="20"/>
              </w:rPr>
              <w:t>21,8%</w:t>
            </w:r>
          </w:p>
        </w:tc>
        <w:tc>
          <w:tcPr>
            <w:tcW w:w="1216" w:type="dxa"/>
            <w:vAlign w:val="center"/>
          </w:tcPr>
          <w:p w:rsidR="00DB5D17" w:rsidRPr="00492264" w:rsidRDefault="00DB5D17" w:rsidP="00D13B2B">
            <w:pPr>
              <w:contextualSpacing/>
              <w:jc w:val="center"/>
              <w:rPr>
                <w:sz w:val="20"/>
                <w:szCs w:val="20"/>
              </w:rPr>
            </w:pPr>
            <w:r w:rsidRPr="00492264">
              <w:rPr>
                <w:sz w:val="20"/>
                <w:szCs w:val="20"/>
              </w:rPr>
              <w:t>16,5%</w:t>
            </w:r>
          </w:p>
        </w:tc>
        <w:tc>
          <w:tcPr>
            <w:tcW w:w="1216" w:type="dxa"/>
            <w:vAlign w:val="center"/>
          </w:tcPr>
          <w:p w:rsidR="00DB5D17" w:rsidRPr="00492264" w:rsidRDefault="00DB5D17" w:rsidP="00D13B2B">
            <w:pPr>
              <w:contextualSpacing/>
              <w:jc w:val="center"/>
              <w:rPr>
                <w:sz w:val="20"/>
                <w:szCs w:val="20"/>
              </w:rPr>
            </w:pPr>
            <w:r w:rsidRPr="00492264">
              <w:rPr>
                <w:sz w:val="20"/>
                <w:szCs w:val="20"/>
              </w:rPr>
              <w:t>19,1%</w:t>
            </w:r>
          </w:p>
        </w:tc>
        <w:tc>
          <w:tcPr>
            <w:tcW w:w="1216" w:type="dxa"/>
            <w:vAlign w:val="center"/>
          </w:tcPr>
          <w:p w:rsidR="00DB5D17" w:rsidRPr="00492264" w:rsidRDefault="00DB5D17" w:rsidP="00D13B2B">
            <w:pPr>
              <w:contextualSpacing/>
              <w:jc w:val="center"/>
              <w:rPr>
                <w:sz w:val="20"/>
                <w:szCs w:val="20"/>
              </w:rPr>
            </w:pPr>
            <w:r w:rsidRPr="00492264">
              <w:rPr>
                <w:sz w:val="20"/>
                <w:szCs w:val="20"/>
              </w:rPr>
              <w:t>8,5%</w:t>
            </w:r>
          </w:p>
        </w:tc>
        <w:tc>
          <w:tcPr>
            <w:tcW w:w="1217" w:type="dxa"/>
            <w:vAlign w:val="center"/>
          </w:tcPr>
          <w:p w:rsidR="00DB5D17" w:rsidRPr="00492264" w:rsidRDefault="00DB5D17" w:rsidP="00D13B2B">
            <w:pPr>
              <w:contextualSpacing/>
              <w:jc w:val="center"/>
              <w:rPr>
                <w:sz w:val="20"/>
                <w:szCs w:val="20"/>
              </w:rPr>
            </w:pPr>
            <w:r w:rsidRPr="00492264">
              <w:rPr>
                <w:sz w:val="20"/>
                <w:szCs w:val="20"/>
              </w:rPr>
              <w:t>6,9%</w:t>
            </w:r>
          </w:p>
        </w:tc>
        <w:tc>
          <w:tcPr>
            <w:tcW w:w="1393" w:type="dxa"/>
            <w:vAlign w:val="center"/>
          </w:tcPr>
          <w:p w:rsidR="00DB5D17" w:rsidRPr="00492264" w:rsidRDefault="00DB5D17" w:rsidP="00D13B2B">
            <w:pPr>
              <w:contextualSpacing/>
              <w:jc w:val="center"/>
              <w:rPr>
                <w:sz w:val="20"/>
                <w:szCs w:val="20"/>
              </w:rPr>
            </w:pPr>
            <w:r w:rsidRPr="00492264">
              <w:rPr>
                <w:sz w:val="20"/>
                <w:szCs w:val="20"/>
              </w:rPr>
              <w:t>6,0%</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Росія</w:t>
            </w:r>
          </w:p>
        </w:tc>
        <w:tc>
          <w:tcPr>
            <w:tcW w:w="1216" w:type="dxa"/>
            <w:vAlign w:val="center"/>
          </w:tcPr>
          <w:p w:rsidR="00DB5D17" w:rsidRPr="00492264" w:rsidRDefault="00DB5D17" w:rsidP="00D13B2B">
            <w:pPr>
              <w:contextualSpacing/>
              <w:jc w:val="center"/>
              <w:rPr>
                <w:sz w:val="20"/>
                <w:szCs w:val="20"/>
              </w:rPr>
            </w:pPr>
            <w:r w:rsidRPr="00492264">
              <w:rPr>
                <w:sz w:val="20"/>
                <w:szCs w:val="20"/>
              </w:rPr>
              <w:t>34,4%</w:t>
            </w:r>
          </w:p>
        </w:tc>
        <w:tc>
          <w:tcPr>
            <w:tcW w:w="1216" w:type="dxa"/>
            <w:vAlign w:val="center"/>
          </w:tcPr>
          <w:p w:rsidR="00DB5D17" w:rsidRPr="00492264" w:rsidRDefault="00DB5D17" w:rsidP="00D13B2B">
            <w:pPr>
              <w:contextualSpacing/>
              <w:jc w:val="center"/>
              <w:rPr>
                <w:sz w:val="20"/>
                <w:szCs w:val="20"/>
              </w:rPr>
            </w:pPr>
            <w:r w:rsidRPr="00492264">
              <w:rPr>
                <w:sz w:val="20"/>
                <w:szCs w:val="20"/>
              </w:rPr>
              <w:t>19,4%</w:t>
            </w:r>
          </w:p>
        </w:tc>
        <w:tc>
          <w:tcPr>
            <w:tcW w:w="1216" w:type="dxa"/>
            <w:vAlign w:val="center"/>
          </w:tcPr>
          <w:p w:rsidR="00DB5D17" w:rsidRPr="00492264" w:rsidRDefault="00DB5D17" w:rsidP="00D13B2B">
            <w:pPr>
              <w:contextualSpacing/>
              <w:jc w:val="center"/>
              <w:rPr>
                <w:sz w:val="20"/>
                <w:szCs w:val="20"/>
              </w:rPr>
            </w:pPr>
            <w:r w:rsidRPr="00492264">
              <w:rPr>
                <w:sz w:val="20"/>
                <w:szCs w:val="20"/>
              </w:rPr>
              <w:t>17,1%</w:t>
            </w:r>
          </w:p>
        </w:tc>
        <w:tc>
          <w:tcPr>
            <w:tcW w:w="1216" w:type="dxa"/>
            <w:vAlign w:val="center"/>
          </w:tcPr>
          <w:p w:rsidR="00DB5D17" w:rsidRPr="00492264" w:rsidRDefault="00DB5D17" w:rsidP="00D13B2B">
            <w:pPr>
              <w:contextualSpacing/>
              <w:jc w:val="center"/>
              <w:rPr>
                <w:sz w:val="20"/>
                <w:szCs w:val="20"/>
              </w:rPr>
            </w:pPr>
            <w:r w:rsidRPr="00492264">
              <w:rPr>
                <w:sz w:val="20"/>
                <w:szCs w:val="20"/>
              </w:rPr>
              <w:t>10,8%</w:t>
            </w:r>
          </w:p>
        </w:tc>
        <w:tc>
          <w:tcPr>
            <w:tcW w:w="1217" w:type="dxa"/>
            <w:vAlign w:val="center"/>
          </w:tcPr>
          <w:p w:rsidR="00DB5D17" w:rsidRPr="00492264" w:rsidRDefault="00DB5D17" w:rsidP="00D13B2B">
            <w:pPr>
              <w:contextualSpacing/>
              <w:jc w:val="center"/>
              <w:rPr>
                <w:sz w:val="20"/>
                <w:szCs w:val="20"/>
              </w:rPr>
            </w:pPr>
            <w:r w:rsidRPr="00492264">
              <w:rPr>
                <w:sz w:val="20"/>
                <w:szCs w:val="20"/>
              </w:rPr>
              <w:t>6,9%</w:t>
            </w:r>
          </w:p>
        </w:tc>
        <w:tc>
          <w:tcPr>
            <w:tcW w:w="1393" w:type="dxa"/>
            <w:vAlign w:val="center"/>
          </w:tcPr>
          <w:p w:rsidR="00DB5D17" w:rsidRPr="00492264" w:rsidRDefault="00DB5D17" w:rsidP="00D13B2B">
            <w:pPr>
              <w:contextualSpacing/>
              <w:jc w:val="center"/>
              <w:rPr>
                <w:sz w:val="20"/>
                <w:szCs w:val="20"/>
              </w:rPr>
            </w:pPr>
            <w:r w:rsidRPr="00492264">
              <w:rPr>
                <w:sz w:val="20"/>
                <w:szCs w:val="20"/>
              </w:rPr>
              <w:t>5,2%</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Італія</w:t>
            </w:r>
          </w:p>
        </w:tc>
        <w:tc>
          <w:tcPr>
            <w:tcW w:w="1216" w:type="dxa"/>
            <w:vAlign w:val="center"/>
          </w:tcPr>
          <w:p w:rsidR="00DB5D17" w:rsidRPr="00492264" w:rsidRDefault="00DB5D17" w:rsidP="00D13B2B">
            <w:pPr>
              <w:contextualSpacing/>
              <w:jc w:val="center"/>
              <w:rPr>
                <w:sz w:val="20"/>
                <w:szCs w:val="20"/>
              </w:rPr>
            </w:pPr>
            <w:r w:rsidRPr="00492264">
              <w:rPr>
                <w:sz w:val="20"/>
                <w:szCs w:val="20"/>
              </w:rPr>
              <w:t>17,0%</w:t>
            </w:r>
          </w:p>
        </w:tc>
        <w:tc>
          <w:tcPr>
            <w:tcW w:w="1216" w:type="dxa"/>
            <w:vAlign w:val="center"/>
          </w:tcPr>
          <w:p w:rsidR="00DB5D17" w:rsidRPr="00492264" w:rsidRDefault="00DB5D17" w:rsidP="00D13B2B">
            <w:pPr>
              <w:contextualSpacing/>
              <w:jc w:val="center"/>
              <w:rPr>
                <w:sz w:val="20"/>
                <w:szCs w:val="20"/>
              </w:rPr>
            </w:pPr>
            <w:r w:rsidRPr="00492264">
              <w:rPr>
                <w:sz w:val="20"/>
                <w:szCs w:val="20"/>
              </w:rPr>
              <w:t>16,8%</w:t>
            </w:r>
          </w:p>
        </w:tc>
        <w:tc>
          <w:tcPr>
            <w:tcW w:w="1216" w:type="dxa"/>
            <w:vAlign w:val="center"/>
          </w:tcPr>
          <w:p w:rsidR="00DB5D17" w:rsidRPr="00492264" w:rsidRDefault="00DB5D17" w:rsidP="00D13B2B">
            <w:pPr>
              <w:contextualSpacing/>
              <w:jc w:val="center"/>
              <w:rPr>
                <w:sz w:val="20"/>
                <w:szCs w:val="20"/>
              </w:rPr>
            </w:pPr>
            <w:r w:rsidRPr="00492264">
              <w:rPr>
                <w:sz w:val="20"/>
                <w:szCs w:val="20"/>
              </w:rPr>
              <w:t>15,3%</w:t>
            </w:r>
          </w:p>
        </w:tc>
        <w:tc>
          <w:tcPr>
            <w:tcW w:w="1216" w:type="dxa"/>
            <w:vAlign w:val="center"/>
          </w:tcPr>
          <w:p w:rsidR="00DB5D17" w:rsidRPr="00492264" w:rsidRDefault="00DB5D17" w:rsidP="00D13B2B">
            <w:pPr>
              <w:contextualSpacing/>
              <w:jc w:val="center"/>
              <w:rPr>
                <w:sz w:val="20"/>
                <w:szCs w:val="20"/>
              </w:rPr>
            </w:pPr>
            <w:r w:rsidRPr="00492264">
              <w:rPr>
                <w:sz w:val="20"/>
                <w:szCs w:val="20"/>
              </w:rPr>
              <w:t>13,5%</w:t>
            </w:r>
          </w:p>
        </w:tc>
        <w:tc>
          <w:tcPr>
            <w:tcW w:w="1217" w:type="dxa"/>
            <w:vAlign w:val="center"/>
          </w:tcPr>
          <w:p w:rsidR="00DB5D17" w:rsidRPr="00492264" w:rsidRDefault="00DB5D17" w:rsidP="00D13B2B">
            <w:pPr>
              <w:contextualSpacing/>
              <w:jc w:val="center"/>
              <w:rPr>
                <w:sz w:val="20"/>
                <w:szCs w:val="20"/>
              </w:rPr>
            </w:pPr>
            <w:r w:rsidRPr="00492264">
              <w:rPr>
                <w:sz w:val="20"/>
                <w:szCs w:val="20"/>
              </w:rPr>
              <w:t>12,0%</w:t>
            </w:r>
          </w:p>
        </w:tc>
        <w:tc>
          <w:tcPr>
            <w:tcW w:w="1393" w:type="dxa"/>
            <w:vAlign w:val="center"/>
          </w:tcPr>
          <w:p w:rsidR="00DB5D17" w:rsidRPr="00492264" w:rsidRDefault="00DB5D17" w:rsidP="00D13B2B">
            <w:pPr>
              <w:contextualSpacing/>
              <w:jc w:val="center"/>
              <w:rPr>
                <w:sz w:val="20"/>
                <w:szCs w:val="20"/>
              </w:rPr>
            </w:pPr>
            <w:r w:rsidRPr="00492264">
              <w:rPr>
                <w:sz w:val="20"/>
                <w:szCs w:val="20"/>
              </w:rPr>
              <w:t>10,6%</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Великобританія</w:t>
            </w:r>
          </w:p>
        </w:tc>
        <w:tc>
          <w:tcPr>
            <w:tcW w:w="1216" w:type="dxa"/>
            <w:vAlign w:val="center"/>
          </w:tcPr>
          <w:p w:rsidR="00DB5D17" w:rsidRPr="00492264" w:rsidRDefault="00DB5D17" w:rsidP="00D13B2B">
            <w:pPr>
              <w:contextualSpacing/>
              <w:jc w:val="center"/>
              <w:rPr>
                <w:sz w:val="20"/>
                <w:szCs w:val="20"/>
              </w:rPr>
            </w:pPr>
            <w:r w:rsidRPr="00492264">
              <w:rPr>
                <w:sz w:val="20"/>
                <w:szCs w:val="20"/>
              </w:rPr>
              <w:t>14,5%</w:t>
            </w:r>
          </w:p>
        </w:tc>
        <w:tc>
          <w:tcPr>
            <w:tcW w:w="1216" w:type="dxa"/>
            <w:vAlign w:val="center"/>
          </w:tcPr>
          <w:p w:rsidR="00DB5D17" w:rsidRPr="00492264" w:rsidRDefault="00DB5D17" w:rsidP="00D13B2B">
            <w:pPr>
              <w:contextualSpacing/>
              <w:jc w:val="center"/>
              <w:rPr>
                <w:sz w:val="20"/>
                <w:szCs w:val="20"/>
              </w:rPr>
            </w:pPr>
            <w:r w:rsidRPr="00492264">
              <w:rPr>
                <w:sz w:val="20"/>
                <w:szCs w:val="20"/>
              </w:rPr>
              <w:t>16,3%</w:t>
            </w:r>
          </w:p>
        </w:tc>
        <w:tc>
          <w:tcPr>
            <w:tcW w:w="1216" w:type="dxa"/>
            <w:vAlign w:val="center"/>
          </w:tcPr>
          <w:p w:rsidR="00DB5D17" w:rsidRPr="00492264" w:rsidRDefault="00DB5D17" w:rsidP="00D13B2B">
            <w:pPr>
              <w:contextualSpacing/>
              <w:jc w:val="center"/>
              <w:rPr>
                <w:sz w:val="20"/>
                <w:szCs w:val="20"/>
              </w:rPr>
            </w:pPr>
            <w:r w:rsidRPr="00492264">
              <w:rPr>
                <w:sz w:val="20"/>
                <w:szCs w:val="20"/>
              </w:rPr>
              <w:t>14,2%</w:t>
            </w:r>
          </w:p>
        </w:tc>
        <w:tc>
          <w:tcPr>
            <w:tcW w:w="1216" w:type="dxa"/>
            <w:vAlign w:val="center"/>
          </w:tcPr>
          <w:p w:rsidR="00DB5D17" w:rsidRPr="00492264" w:rsidRDefault="00DB5D17" w:rsidP="00D13B2B">
            <w:pPr>
              <w:contextualSpacing/>
              <w:jc w:val="center"/>
              <w:rPr>
                <w:sz w:val="20"/>
                <w:szCs w:val="20"/>
              </w:rPr>
            </w:pPr>
            <w:r w:rsidRPr="00492264">
              <w:rPr>
                <w:sz w:val="20"/>
                <w:szCs w:val="20"/>
              </w:rPr>
              <w:t>12,2%</w:t>
            </w:r>
          </w:p>
        </w:tc>
        <w:tc>
          <w:tcPr>
            <w:tcW w:w="1217" w:type="dxa"/>
            <w:vAlign w:val="center"/>
          </w:tcPr>
          <w:p w:rsidR="00DB5D17" w:rsidRPr="00492264" w:rsidRDefault="00DB5D17" w:rsidP="00D13B2B">
            <w:pPr>
              <w:contextualSpacing/>
              <w:jc w:val="center"/>
              <w:rPr>
                <w:sz w:val="20"/>
                <w:szCs w:val="20"/>
              </w:rPr>
            </w:pPr>
            <w:r w:rsidRPr="00492264">
              <w:rPr>
                <w:sz w:val="20"/>
                <w:szCs w:val="20"/>
              </w:rPr>
              <w:t>9,2%</w:t>
            </w:r>
          </w:p>
        </w:tc>
        <w:tc>
          <w:tcPr>
            <w:tcW w:w="1393" w:type="dxa"/>
            <w:vAlign w:val="center"/>
          </w:tcPr>
          <w:p w:rsidR="00DB5D17" w:rsidRPr="00492264" w:rsidRDefault="00DB5D17" w:rsidP="00D13B2B">
            <w:pPr>
              <w:contextualSpacing/>
              <w:jc w:val="center"/>
              <w:rPr>
                <w:sz w:val="20"/>
                <w:szCs w:val="20"/>
              </w:rPr>
            </w:pPr>
            <w:r w:rsidRPr="00492264">
              <w:rPr>
                <w:sz w:val="20"/>
                <w:szCs w:val="20"/>
              </w:rPr>
              <w:t>8,2%</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Канада</w:t>
            </w:r>
          </w:p>
        </w:tc>
        <w:tc>
          <w:tcPr>
            <w:tcW w:w="1216" w:type="dxa"/>
            <w:vAlign w:val="center"/>
          </w:tcPr>
          <w:p w:rsidR="00DB5D17" w:rsidRPr="00492264" w:rsidRDefault="00DB5D17" w:rsidP="00D13B2B">
            <w:pPr>
              <w:contextualSpacing/>
              <w:jc w:val="center"/>
              <w:rPr>
                <w:sz w:val="20"/>
                <w:szCs w:val="20"/>
              </w:rPr>
            </w:pPr>
            <w:r w:rsidRPr="00492264">
              <w:rPr>
                <w:sz w:val="20"/>
                <w:szCs w:val="20"/>
              </w:rPr>
              <w:t>15,0%</w:t>
            </w:r>
          </w:p>
        </w:tc>
        <w:tc>
          <w:tcPr>
            <w:tcW w:w="1216" w:type="dxa"/>
            <w:vAlign w:val="center"/>
          </w:tcPr>
          <w:p w:rsidR="00DB5D17" w:rsidRPr="00492264" w:rsidRDefault="00DB5D17" w:rsidP="00D13B2B">
            <w:pPr>
              <w:contextualSpacing/>
              <w:jc w:val="center"/>
              <w:rPr>
                <w:sz w:val="20"/>
                <w:szCs w:val="20"/>
              </w:rPr>
            </w:pPr>
            <w:r w:rsidRPr="00492264">
              <w:rPr>
                <w:sz w:val="20"/>
                <w:szCs w:val="20"/>
              </w:rPr>
              <w:t>14,2%</w:t>
            </w:r>
          </w:p>
        </w:tc>
        <w:tc>
          <w:tcPr>
            <w:tcW w:w="1216" w:type="dxa"/>
            <w:vAlign w:val="center"/>
          </w:tcPr>
          <w:p w:rsidR="00DB5D17" w:rsidRPr="00492264" w:rsidRDefault="00DB5D17" w:rsidP="00D13B2B">
            <w:pPr>
              <w:contextualSpacing/>
              <w:jc w:val="center"/>
              <w:rPr>
                <w:sz w:val="20"/>
                <w:szCs w:val="20"/>
              </w:rPr>
            </w:pPr>
            <w:r w:rsidRPr="00492264">
              <w:rPr>
                <w:sz w:val="20"/>
                <w:szCs w:val="20"/>
              </w:rPr>
              <w:t>14,0%</w:t>
            </w:r>
          </w:p>
        </w:tc>
        <w:tc>
          <w:tcPr>
            <w:tcW w:w="1216" w:type="dxa"/>
            <w:vAlign w:val="center"/>
          </w:tcPr>
          <w:p w:rsidR="00DB5D17" w:rsidRPr="00492264" w:rsidRDefault="00DB5D17" w:rsidP="00D13B2B">
            <w:pPr>
              <w:contextualSpacing/>
              <w:jc w:val="center"/>
              <w:rPr>
                <w:sz w:val="20"/>
                <w:szCs w:val="20"/>
              </w:rPr>
            </w:pPr>
            <w:r w:rsidRPr="00492264">
              <w:rPr>
                <w:sz w:val="20"/>
                <w:szCs w:val="20"/>
              </w:rPr>
              <w:t>13,5%</w:t>
            </w:r>
          </w:p>
        </w:tc>
        <w:tc>
          <w:tcPr>
            <w:tcW w:w="1217" w:type="dxa"/>
            <w:vAlign w:val="center"/>
          </w:tcPr>
          <w:p w:rsidR="00DB5D17" w:rsidRPr="00492264" w:rsidRDefault="00DB5D17" w:rsidP="00D13B2B">
            <w:pPr>
              <w:contextualSpacing/>
              <w:jc w:val="center"/>
              <w:rPr>
                <w:sz w:val="20"/>
                <w:szCs w:val="20"/>
              </w:rPr>
            </w:pPr>
            <w:r w:rsidRPr="00492264">
              <w:rPr>
                <w:sz w:val="20"/>
                <w:szCs w:val="20"/>
              </w:rPr>
              <w:t>12,5%</w:t>
            </w:r>
          </w:p>
        </w:tc>
        <w:tc>
          <w:tcPr>
            <w:tcW w:w="1393" w:type="dxa"/>
            <w:vAlign w:val="center"/>
          </w:tcPr>
          <w:p w:rsidR="00DB5D17" w:rsidRPr="00492264" w:rsidRDefault="00DB5D17" w:rsidP="00D13B2B">
            <w:pPr>
              <w:contextualSpacing/>
              <w:jc w:val="center"/>
              <w:rPr>
                <w:sz w:val="20"/>
                <w:szCs w:val="20"/>
              </w:rPr>
            </w:pPr>
            <w:r w:rsidRPr="00492264">
              <w:rPr>
                <w:sz w:val="20"/>
                <w:szCs w:val="20"/>
              </w:rPr>
              <w:t>11,5%</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Іспанія</w:t>
            </w:r>
          </w:p>
        </w:tc>
        <w:tc>
          <w:tcPr>
            <w:tcW w:w="1216" w:type="dxa"/>
            <w:vAlign w:val="center"/>
          </w:tcPr>
          <w:p w:rsidR="00DB5D17" w:rsidRPr="00492264" w:rsidRDefault="00DB5D17" w:rsidP="00D13B2B">
            <w:pPr>
              <w:contextualSpacing/>
              <w:jc w:val="center"/>
              <w:rPr>
                <w:sz w:val="20"/>
                <w:szCs w:val="20"/>
              </w:rPr>
            </w:pPr>
            <w:r w:rsidRPr="00492264">
              <w:rPr>
                <w:sz w:val="20"/>
                <w:szCs w:val="20"/>
              </w:rPr>
              <w:t>10,0%</w:t>
            </w:r>
          </w:p>
        </w:tc>
        <w:tc>
          <w:tcPr>
            <w:tcW w:w="1216" w:type="dxa"/>
            <w:vAlign w:val="center"/>
          </w:tcPr>
          <w:p w:rsidR="00DB5D17" w:rsidRPr="00492264" w:rsidRDefault="00DB5D17" w:rsidP="00D13B2B">
            <w:pPr>
              <w:contextualSpacing/>
              <w:jc w:val="center"/>
              <w:rPr>
                <w:sz w:val="20"/>
                <w:szCs w:val="20"/>
              </w:rPr>
            </w:pPr>
            <w:r w:rsidRPr="00492264">
              <w:rPr>
                <w:sz w:val="20"/>
                <w:szCs w:val="20"/>
              </w:rPr>
              <w:t>10,0%</w:t>
            </w:r>
          </w:p>
        </w:tc>
        <w:tc>
          <w:tcPr>
            <w:tcW w:w="1216" w:type="dxa"/>
            <w:vAlign w:val="center"/>
          </w:tcPr>
          <w:p w:rsidR="00DB5D17" w:rsidRPr="00492264" w:rsidRDefault="00DB5D17" w:rsidP="00D13B2B">
            <w:pPr>
              <w:contextualSpacing/>
              <w:jc w:val="center"/>
              <w:rPr>
                <w:sz w:val="20"/>
                <w:szCs w:val="20"/>
              </w:rPr>
            </w:pPr>
            <w:r w:rsidRPr="00492264">
              <w:rPr>
                <w:sz w:val="20"/>
                <w:szCs w:val="20"/>
              </w:rPr>
              <w:t>13,8%</w:t>
            </w:r>
          </w:p>
        </w:tc>
        <w:tc>
          <w:tcPr>
            <w:tcW w:w="1216" w:type="dxa"/>
            <w:vAlign w:val="center"/>
          </w:tcPr>
          <w:p w:rsidR="00DB5D17" w:rsidRPr="00492264" w:rsidRDefault="00DB5D17" w:rsidP="00D13B2B">
            <w:pPr>
              <w:contextualSpacing/>
              <w:jc w:val="center"/>
              <w:rPr>
                <w:sz w:val="20"/>
                <w:szCs w:val="20"/>
              </w:rPr>
            </w:pPr>
            <w:r w:rsidRPr="00492264">
              <w:rPr>
                <w:sz w:val="20"/>
                <w:szCs w:val="20"/>
              </w:rPr>
              <w:t>11,9%</w:t>
            </w:r>
          </w:p>
        </w:tc>
        <w:tc>
          <w:tcPr>
            <w:tcW w:w="1217" w:type="dxa"/>
            <w:vAlign w:val="center"/>
          </w:tcPr>
          <w:p w:rsidR="00DB5D17" w:rsidRPr="00492264" w:rsidRDefault="00DB5D17" w:rsidP="00D13B2B">
            <w:pPr>
              <w:contextualSpacing/>
              <w:jc w:val="center"/>
              <w:rPr>
                <w:sz w:val="20"/>
                <w:szCs w:val="20"/>
              </w:rPr>
            </w:pPr>
            <w:r w:rsidRPr="00492264">
              <w:rPr>
                <w:sz w:val="20"/>
                <w:szCs w:val="20"/>
              </w:rPr>
              <w:t>10,0%</w:t>
            </w:r>
          </w:p>
        </w:tc>
        <w:tc>
          <w:tcPr>
            <w:tcW w:w="1393" w:type="dxa"/>
            <w:vAlign w:val="center"/>
          </w:tcPr>
          <w:p w:rsidR="00DB5D17" w:rsidRPr="00492264" w:rsidRDefault="00DB5D17" w:rsidP="00D13B2B">
            <w:pPr>
              <w:contextualSpacing/>
              <w:jc w:val="center"/>
              <w:rPr>
                <w:sz w:val="20"/>
                <w:szCs w:val="20"/>
              </w:rPr>
            </w:pPr>
            <w:r w:rsidRPr="00492264">
              <w:rPr>
                <w:sz w:val="20"/>
                <w:szCs w:val="20"/>
              </w:rPr>
              <w:t>8,0%</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Швеція</w:t>
            </w:r>
          </w:p>
        </w:tc>
        <w:tc>
          <w:tcPr>
            <w:tcW w:w="1216" w:type="dxa"/>
            <w:vAlign w:val="center"/>
          </w:tcPr>
          <w:p w:rsidR="00DB5D17" w:rsidRPr="00492264" w:rsidRDefault="00DB5D17" w:rsidP="00D13B2B">
            <w:pPr>
              <w:contextualSpacing/>
              <w:jc w:val="center"/>
              <w:rPr>
                <w:sz w:val="20"/>
                <w:szCs w:val="20"/>
              </w:rPr>
            </w:pPr>
            <w:r w:rsidRPr="00492264">
              <w:rPr>
                <w:sz w:val="20"/>
                <w:szCs w:val="20"/>
              </w:rPr>
              <w:t>18,4%</w:t>
            </w:r>
          </w:p>
        </w:tc>
        <w:tc>
          <w:tcPr>
            <w:tcW w:w="1216" w:type="dxa"/>
            <w:vAlign w:val="center"/>
          </w:tcPr>
          <w:p w:rsidR="00DB5D17" w:rsidRPr="00492264" w:rsidRDefault="00DB5D17" w:rsidP="00D13B2B">
            <w:pPr>
              <w:contextualSpacing/>
              <w:jc w:val="center"/>
              <w:rPr>
                <w:sz w:val="20"/>
                <w:szCs w:val="20"/>
              </w:rPr>
            </w:pPr>
            <w:r w:rsidRPr="00492264">
              <w:rPr>
                <w:sz w:val="20"/>
                <w:szCs w:val="20"/>
              </w:rPr>
              <w:t>16,2%</w:t>
            </w:r>
          </w:p>
        </w:tc>
        <w:tc>
          <w:tcPr>
            <w:tcW w:w="1216" w:type="dxa"/>
            <w:vAlign w:val="center"/>
          </w:tcPr>
          <w:p w:rsidR="00DB5D17" w:rsidRPr="00492264" w:rsidRDefault="00DB5D17" w:rsidP="00D13B2B">
            <w:pPr>
              <w:contextualSpacing/>
              <w:jc w:val="center"/>
              <w:rPr>
                <w:sz w:val="20"/>
                <w:szCs w:val="20"/>
              </w:rPr>
            </w:pPr>
            <w:r w:rsidRPr="00492264">
              <w:rPr>
                <w:sz w:val="20"/>
                <w:szCs w:val="20"/>
              </w:rPr>
              <w:t>13,3%</w:t>
            </w:r>
          </w:p>
        </w:tc>
        <w:tc>
          <w:tcPr>
            <w:tcW w:w="1216" w:type="dxa"/>
            <w:vAlign w:val="center"/>
          </w:tcPr>
          <w:p w:rsidR="00DB5D17" w:rsidRPr="00492264" w:rsidRDefault="00DB5D17" w:rsidP="00D13B2B">
            <w:pPr>
              <w:contextualSpacing/>
              <w:jc w:val="center"/>
              <w:rPr>
                <w:sz w:val="20"/>
                <w:szCs w:val="20"/>
              </w:rPr>
            </w:pPr>
            <w:r w:rsidRPr="00492264">
              <w:rPr>
                <w:sz w:val="20"/>
                <w:szCs w:val="20"/>
              </w:rPr>
              <w:t>10,3%</w:t>
            </w:r>
          </w:p>
        </w:tc>
        <w:tc>
          <w:tcPr>
            <w:tcW w:w="1217" w:type="dxa"/>
            <w:vAlign w:val="center"/>
          </w:tcPr>
          <w:p w:rsidR="00DB5D17" w:rsidRPr="00492264" w:rsidRDefault="00DB5D17" w:rsidP="00D13B2B">
            <w:pPr>
              <w:contextualSpacing/>
              <w:jc w:val="center"/>
              <w:rPr>
                <w:sz w:val="20"/>
                <w:szCs w:val="20"/>
              </w:rPr>
            </w:pPr>
            <w:r w:rsidRPr="00492264">
              <w:rPr>
                <w:sz w:val="20"/>
                <w:szCs w:val="20"/>
              </w:rPr>
              <w:t>9,0%</w:t>
            </w:r>
          </w:p>
        </w:tc>
        <w:tc>
          <w:tcPr>
            <w:tcW w:w="1393" w:type="dxa"/>
            <w:vAlign w:val="center"/>
          </w:tcPr>
          <w:p w:rsidR="00DB5D17" w:rsidRPr="00492264" w:rsidRDefault="00DB5D17" w:rsidP="00D13B2B">
            <w:pPr>
              <w:contextualSpacing/>
              <w:jc w:val="center"/>
              <w:rPr>
                <w:sz w:val="20"/>
                <w:szCs w:val="20"/>
              </w:rPr>
            </w:pPr>
            <w:r w:rsidRPr="00492264">
              <w:rPr>
                <w:sz w:val="20"/>
                <w:szCs w:val="20"/>
              </w:rPr>
              <w:t>8,4%</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США</w:t>
            </w:r>
          </w:p>
        </w:tc>
        <w:tc>
          <w:tcPr>
            <w:tcW w:w="1216" w:type="dxa"/>
            <w:vAlign w:val="center"/>
          </w:tcPr>
          <w:p w:rsidR="00DB5D17" w:rsidRPr="00492264" w:rsidRDefault="00DB5D17" w:rsidP="00D13B2B">
            <w:pPr>
              <w:contextualSpacing/>
              <w:jc w:val="center"/>
              <w:rPr>
                <w:sz w:val="20"/>
                <w:szCs w:val="20"/>
              </w:rPr>
            </w:pPr>
            <w:r w:rsidRPr="00492264">
              <w:rPr>
                <w:sz w:val="20"/>
                <w:szCs w:val="20"/>
              </w:rPr>
              <w:t>14,2%</w:t>
            </w:r>
          </w:p>
        </w:tc>
        <w:tc>
          <w:tcPr>
            <w:tcW w:w="1216" w:type="dxa"/>
            <w:vAlign w:val="center"/>
          </w:tcPr>
          <w:p w:rsidR="00DB5D17" w:rsidRPr="00492264" w:rsidRDefault="00DB5D17" w:rsidP="00D13B2B">
            <w:pPr>
              <w:contextualSpacing/>
              <w:jc w:val="center"/>
              <w:rPr>
                <w:sz w:val="20"/>
                <w:szCs w:val="20"/>
              </w:rPr>
            </w:pPr>
            <w:r w:rsidRPr="00492264">
              <w:rPr>
                <w:sz w:val="20"/>
                <w:szCs w:val="20"/>
              </w:rPr>
              <w:t>13,4%</w:t>
            </w:r>
          </w:p>
        </w:tc>
        <w:tc>
          <w:tcPr>
            <w:tcW w:w="1216" w:type="dxa"/>
            <w:vAlign w:val="center"/>
          </w:tcPr>
          <w:p w:rsidR="00DB5D17" w:rsidRPr="00492264" w:rsidRDefault="00DB5D17" w:rsidP="00D13B2B">
            <w:pPr>
              <w:contextualSpacing/>
              <w:jc w:val="center"/>
              <w:rPr>
                <w:sz w:val="20"/>
                <w:szCs w:val="20"/>
              </w:rPr>
            </w:pPr>
            <w:r w:rsidRPr="00492264">
              <w:rPr>
                <w:sz w:val="20"/>
                <w:szCs w:val="20"/>
              </w:rPr>
              <w:t>11,8%</w:t>
            </w:r>
          </w:p>
        </w:tc>
        <w:tc>
          <w:tcPr>
            <w:tcW w:w="1216" w:type="dxa"/>
            <w:vAlign w:val="center"/>
          </w:tcPr>
          <w:p w:rsidR="00DB5D17" w:rsidRPr="00492264" w:rsidRDefault="00DB5D17" w:rsidP="00D13B2B">
            <w:pPr>
              <w:contextualSpacing/>
              <w:jc w:val="center"/>
              <w:rPr>
                <w:sz w:val="20"/>
                <w:szCs w:val="20"/>
              </w:rPr>
            </w:pPr>
            <w:r w:rsidRPr="00492264">
              <w:rPr>
                <w:sz w:val="20"/>
                <w:szCs w:val="20"/>
              </w:rPr>
              <w:t>11,4%</w:t>
            </w:r>
          </w:p>
        </w:tc>
        <w:tc>
          <w:tcPr>
            <w:tcW w:w="1217" w:type="dxa"/>
            <w:vAlign w:val="center"/>
          </w:tcPr>
          <w:p w:rsidR="00DB5D17" w:rsidRPr="00492264" w:rsidRDefault="00DB5D17" w:rsidP="00D13B2B">
            <w:pPr>
              <w:contextualSpacing/>
              <w:jc w:val="center"/>
              <w:rPr>
                <w:sz w:val="20"/>
                <w:szCs w:val="20"/>
              </w:rPr>
            </w:pPr>
            <w:r w:rsidRPr="00492264">
              <w:rPr>
                <w:sz w:val="20"/>
                <w:szCs w:val="20"/>
              </w:rPr>
              <w:t>10,9%</w:t>
            </w:r>
          </w:p>
        </w:tc>
        <w:tc>
          <w:tcPr>
            <w:tcW w:w="1393" w:type="dxa"/>
            <w:vAlign w:val="center"/>
          </w:tcPr>
          <w:p w:rsidR="00DB5D17" w:rsidRPr="00492264" w:rsidRDefault="00DB5D17" w:rsidP="00D13B2B">
            <w:pPr>
              <w:contextualSpacing/>
              <w:jc w:val="center"/>
              <w:rPr>
                <w:sz w:val="20"/>
                <w:szCs w:val="20"/>
              </w:rPr>
            </w:pPr>
            <w:r w:rsidRPr="00492264">
              <w:rPr>
                <w:sz w:val="20"/>
                <w:szCs w:val="20"/>
              </w:rPr>
              <w:t>10,4%</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Норвегія</w:t>
            </w:r>
          </w:p>
        </w:tc>
        <w:tc>
          <w:tcPr>
            <w:tcW w:w="1216" w:type="dxa"/>
            <w:vAlign w:val="center"/>
          </w:tcPr>
          <w:p w:rsidR="00DB5D17" w:rsidRPr="00492264" w:rsidRDefault="00DB5D17" w:rsidP="00D13B2B">
            <w:pPr>
              <w:contextualSpacing/>
              <w:jc w:val="center"/>
              <w:rPr>
                <w:sz w:val="20"/>
                <w:szCs w:val="20"/>
              </w:rPr>
            </w:pPr>
            <w:r w:rsidRPr="00492264">
              <w:rPr>
                <w:sz w:val="20"/>
                <w:szCs w:val="20"/>
              </w:rPr>
              <w:t>14,9%</w:t>
            </w:r>
          </w:p>
        </w:tc>
        <w:tc>
          <w:tcPr>
            <w:tcW w:w="1216" w:type="dxa"/>
            <w:vAlign w:val="center"/>
          </w:tcPr>
          <w:p w:rsidR="00DB5D17" w:rsidRPr="00492264" w:rsidRDefault="00DB5D17" w:rsidP="00D13B2B">
            <w:pPr>
              <w:contextualSpacing/>
              <w:jc w:val="center"/>
              <w:rPr>
                <w:sz w:val="20"/>
                <w:szCs w:val="20"/>
              </w:rPr>
            </w:pPr>
            <w:r w:rsidRPr="00492264">
              <w:rPr>
                <w:sz w:val="20"/>
                <w:szCs w:val="20"/>
              </w:rPr>
              <w:t>12,7%</w:t>
            </w:r>
          </w:p>
        </w:tc>
        <w:tc>
          <w:tcPr>
            <w:tcW w:w="1216" w:type="dxa"/>
            <w:vAlign w:val="center"/>
          </w:tcPr>
          <w:p w:rsidR="00DB5D17" w:rsidRPr="00492264" w:rsidRDefault="00DB5D17" w:rsidP="00D13B2B">
            <w:pPr>
              <w:contextualSpacing/>
              <w:jc w:val="center"/>
              <w:rPr>
                <w:sz w:val="20"/>
                <w:szCs w:val="20"/>
              </w:rPr>
            </w:pPr>
            <w:r w:rsidRPr="00492264">
              <w:rPr>
                <w:sz w:val="20"/>
                <w:szCs w:val="20"/>
              </w:rPr>
              <w:t>11,0%</w:t>
            </w:r>
          </w:p>
        </w:tc>
        <w:tc>
          <w:tcPr>
            <w:tcW w:w="1216" w:type="dxa"/>
            <w:vAlign w:val="center"/>
          </w:tcPr>
          <w:p w:rsidR="00DB5D17" w:rsidRPr="00492264" w:rsidRDefault="00DB5D17" w:rsidP="00D13B2B">
            <w:pPr>
              <w:contextualSpacing/>
              <w:jc w:val="center"/>
              <w:rPr>
                <w:sz w:val="20"/>
                <w:szCs w:val="20"/>
              </w:rPr>
            </w:pPr>
            <w:r w:rsidRPr="00492264">
              <w:rPr>
                <w:sz w:val="20"/>
                <w:szCs w:val="20"/>
              </w:rPr>
              <w:t>10,8%</w:t>
            </w:r>
          </w:p>
        </w:tc>
        <w:tc>
          <w:tcPr>
            <w:tcW w:w="1217" w:type="dxa"/>
            <w:vAlign w:val="center"/>
          </w:tcPr>
          <w:p w:rsidR="00DB5D17" w:rsidRPr="00492264" w:rsidRDefault="00DB5D17" w:rsidP="00D13B2B">
            <w:pPr>
              <w:contextualSpacing/>
              <w:jc w:val="center"/>
              <w:rPr>
                <w:sz w:val="20"/>
                <w:szCs w:val="20"/>
              </w:rPr>
            </w:pPr>
            <w:r w:rsidRPr="00492264">
              <w:rPr>
                <w:sz w:val="20"/>
                <w:szCs w:val="20"/>
              </w:rPr>
              <w:t>8,1%</w:t>
            </w:r>
          </w:p>
        </w:tc>
        <w:tc>
          <w:tcPr>
            <w:tcW w:w="1393" w:type="dxa"/>
            <w:vAlign w:val="center"/>
          </w:tcPr>
          <w:p w:rsidR="00DB5D17" w:rsidRPr="00492264" w:rsidRDefault="00DB5D17" w:rsidP="00D13B2B">
            <w:pPr>
              <w:contextualSpacing/>
              <w:jc w:val="center"/>
              <w:rPr>
                <w:sz w:val="20"/>
                <w:szCs w:val="20"/>
              </w:rPr>
            </w:pPr>
            <w:r w:rsidRPr="00492264">
              <w:rPr>
                <w:sz w:val="20"/>
                <w:szCs w:val="20"/>
              </w:rPr>
              <w:t>7,2%</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Данія</w:t>
            </w:r>
          </w:p>
        </w:tc>
        <w:tc>
          <w:tcPr>
            <w:tcW w:w="1216" w:type="dxa"/>
            <w:vAlign w:val="center"/>
          </w:tcPr>
          <w:p w:rsidR="00DB5D17" w:rsidRPr="00492264" w:rsidRDefault="00DB5D17" w:rsidP="00D13B2B">
            <w:pPr>
              <w:contextualSpacing/>
              <w:jc w:val="center"/>
              <w:rPr>
                <w:sz w:val="20"/>
                <w:szCs w:val="20"/>
              </w:rPr>
            </w:pPr>
            <w:r w:rsidRPr="00492264">
              <w:rPr>
                <w:sz w:val="20"/>
                <w:szCs w:val="20"/>
              </w:rPr>
              <w:t>14,3%</w:t>
            </w:r>
          </w:p>
        </w:tc>
        <w:tc>
          <w:tcPr>
            <w:tcW w:w="1216" w:type="dxa"/>
            <w:vAlign w:val="center"/>
          </w:tcPr>
          <w:p w:rsidR="00DB5D17" w:rsidRPr="00492264" w:rsidRDefault="00DB5D17" w:rsidP="00D13B2B">
            <w:pPr>
              <w:contextualSpacing/>
              <w:jc w:val="center"/>
              <w:rPr>
                <w:sz w:val="20"/>
                <w:szCs w:val="20"/>
              </w:rPr>
            </w:pPr>
            <w:r w:rsidRPr="00492264">
              <w:rPr>
                <w:sz w:val="20"/>
                <w:szCs w:val="20"/>
              </w:rPr>
              <w:t>12,4%</w:t>
            </w:r>
          </w:p>
        </w:tc>
        <w:tc>
          <w:tcPr>
            <w:tcW w:w="1216" w:type="dxa"/>
            <w:vAlign w:val="center"/>
          </w:tcPr>
          <w:p w:rsidR="00DB5D17" w:rsidRPr="00492264" w:rsidRDefault="00DB5D17" w:rsidP="00D13B2B">
            <w:pPr>
              <w:contextualSpacing/>
              <w:jc w:val="center"/>
              <w:rPr>
                <w:sz w:val="20"/>
                <w:szCs w:val="20"/>
              </w:rPr>
            </w:pPr>
            <w:r w:rsidRPr="00492264">
              <w:rPr>
                <w:sz w:val="20"/>
                <w:szCs w:val="20"/>
              </w:rPr>
              <w:t>10,6%</w:t>
            </w:r>
          </w:p>
        </w:tc>
        <w:tc>
          <w:tcPr>
            <w:tcW w:w="1216" w:type="dxa"/>
            <w:vAlign w:val="center"/>
          </w:tcPr>
          <w:p w:rsidR="00DB5D17" w:rsidRPr="00492264" w:rsidRDefault="00DB5D17" w:rsidP="00D13B2B">
            <w:pPr>
              <w:contextualSpacing/>
              <w:jc w:val="center"/>
              <w:rPr>
                <w:sz w:val="20"/>
                <w:szCs w:val="20"/>
              </w:rPr>
            </w:pPr>
            <w:r w:rsidRPr="00492264">
              <w:rPr>
                <w:sz w:val="20"/>
                <w:szCs w:val="20"/>
              </w:rPr>
              <w:t>8,9%</w:t>
            </w:r>
          </w:p>
        </w:tc>
        <w:tc>
          <w:tcPr>
            <w:tcW w:w="1217" w:type="dxa"/>
            <w:vAlign w:val="center"/>
          </w:tcPr>
          <w:p w:rsidR="00DB5D17" w:rsidRPr="00492264" w:rsidRDefault="00DB5D17" w:rsidP="00D13B2B">
            <w:pPr>
              <w:contextualSpacing/>
              <w:jc w:val="center"/>
              <w:rPr>
                <w:sz w:val="20"/>
                <w:szCs w:val="20"/>
              </w:rPr>
            </w:pPr>
            <w:r w:rsidRPr="00492264">
              <w:rPr>
                <w:sz w:val="20"/>
                <w:szCs w:val="20"/>
              </w:rPr>
              <w:t>6,5%</w:t>
            </w:r>
          </w:p>
        </w:tc>
        <w:tc>
          <w:tcPr>
            <w:tcW w:w="1393" w:type="dxa"/>
            <w:vAlign w:val="center"/>
          </w:tcPr>
          <w:p w:rsidR="00DB5D17" w:rsidRPr="00492264" w:rsidRDefault="00DB5D17" w:rsidP="00D13B2B">
            <w:pPr>
              <w:contextualSpacing/>
              <w:jc w:val="center"/>
              <w:rPr>
                <w:sz w:val="20"/>
                <w:szCs w:val="20"/>
              </w:rPr>
            </w:pPr>
            <w:r w:rsidRPr="00492264">
              <w:rPr>
                <w:sz w:val="20"/>
                <w:szCs w:val="20"/>
              </w:rPr>
              <w:t>5,9%</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Франція</w:t>
            </w:r>
          </w:p>
        </w:tc>
        <w:tc>
          <w:tcPr>
            <w:tcW w:w="1216" w:type="dxa"/>
            <w:vAlign w:val="center"/>
          </w:tcPr>
          <w:p w:rsidR="00DB5D17" w:rsidRPr="00492264" w:rsidRDefault="00DB5D17" w:rsidP="00D13B2B">
            <w:pPr>
              <w:contextualSpacing/>
              <w:jc w:val="center"/>
              <w:rPr>
                <w:sz w:val="20"/>
                <w:szCs w:val="20"/>
              </w:rPr>
            </w:pPr>
            <w:r w:rsidRPr="00492264">
              <w:rPr>
                <w:sz w:val="20"/>
                <w:szCs w:val="20"/>
              </w:rPr>
              <w:t>32,3%</w:t>
            </w:r>
          </w:p>
        </w:tc>
        <w:tc>
          <w:tcPr>
            <w:tcW w:w="1216" w:type="dxa"/>
            <w:vAlign w:val="center"/>
          </w:tcPr>
          <w:p w:rsidR="00DB5D17" w:rsidRPr="00492264" w:rsidRDefault="00DB5D17" w:rsidP="00D13B2B">
            <w:pPr>
              <w:contextualSpacing/>
              <w:jc w:val="center"/>
              <w:rPr>
                <w:sz w:val="20"/>
                <w:szCs w:val="20"/>
              </w:rPr>
            </w:pPr>
            <w:r w:rsidRPr="00492264">
              <w:rPr>
                <w:sz w:val="20"/>
                <w:szCs w:val="20"/>
              </w:rPr>
              <w:t>10,3%</w:t>
            </w:r>
          </w:p>
        </w:tc>
        <w:tc>
          <w:tcPr>
            <w:tcW w:w="1216" w:type="dxa"/>
            <w:vAlign w:val="center"/>
          </w:tcPr>
          <w:p w:rsidR="00DB5D17" w:rsidRPr="00492264" w:rsidRDefault="00DB5D17" w:rsidP="00D13B2B">
            <w:pPr>
              <w:contextualSpacing/>
              <w:jc w:val="center"/>
              <w:rPr>
                <w:sz w:val="20"/>
                <w:szCs w:val="20"/>
              </w:rPr>
            </w:pPr>
            <w:r w:rsidRPr="00492264">
              <w:rPr>
                <w:sz w:val="20"/>
                <w:szCs w:val="20"/>
              </w:rPr>
              <w:t>10,0%</w:t>
            </w:r>
          </w:p>
        </w:tc>
        <w:tc>
          <w:tcPr>
            <w:tcW w:w="1216" w:type="dxa"/>
            <w:vAlign w:val="center"/>
          </w:tcPr>
          <w:p w:rsidR="00DB5D17" w:rsidRPr="00492264" w:rsidRDefault="00DB5D17" w:rsidP="00D13B2B">
            <w:pPr>
              <w:contextualSpacing/>
              <w:jc w:val="center"/>
              <w:rPr>
                <w:sz w:val="20"/>
                <w:szCs w:val="20"/>
              </w:rPr>
            </w:pPr>
            <w:r w:rsidRPr="00492264">
              <w:rPr>
                <w:sz w:val="20"/>
                <w:szCs w:val="20"/>
              </w:rPr>
              <w:t>9,8%</w:t>
            </w:r>
          </w:p>
        </w:tc>
        <w:tc>
          <w:tcPr>
            <w:tcW w:w="1217" w:type="dxa"/>
            <w:vAlign w:val="center"/>
          </w:tcPr>
          <w:p w:rsidR="00DB5D17" w:rsidRPr="00492264" w:rsidRDefault="00DB5D17" w:rsidP="00D13B2B">
            <w:pPr>
              <w:contextualSpacing/>
              <w:jc w:val="center"/>
              <w:rPr>
                <w:sz w:val="20"/>
                <w:szCs w:val="20"/>
              </w:rPr>
            </w:pPr>
            <w:r w:rsidRPr="00492264">
              <w:rPr>
                <w:sz w:val="20"/>
                <w:szCs w:val="20"/>
              </w:rPr>
              <w:t>7,6%</w:t>
            </w:r>
          </w:p>
        </w:tc>
        <w:tc>
          <w:tcPr>
            <w:tcW w:w="1393" w:type="dxa"/>
            <w:vAlign w:val="center"/>
          </w:tcPr>
          <w:p w:rsidR="00DB5D17" w:rsidRPr="00492264" w:rsidRDefault="00DB5D17" w:rsidP="00D13B2B">
            <w:pPr>
              <w:contextualSpacing/>
              <w:jc w:val="center"/>
              <w:rPr>
                <w:sz w:val="20"/>
                <w:szCs w:val="20"/>
              </w:rPr>
            </w:pPr>
            <w:r w:rsidRPr="00492264">
              <w:rPr>
                <w:sz w:val="20"/>
                <w:szCs w:val="20"/>
              </w:rPr>
              <w:t>7,1%</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Нідерланди</w:t>
            </w:r>
          </w:p>
        </w:tc>
        <w:tc>
          <w:tcPr>
            <w:tcW w:w="1216" w:type="dxa"/>
            <w:vAlign w:val="center"/>
          </w:tcPr>
          <w:p w:rsidR="00DB5D17" w:rsidRPr="00492264" w:rsidRDefault="00DB5D17" w:rsidP="00D13B2B">
            <w:pPr>
              <w:contextualSpacing/>
              <w:jc w:val="center"/>
              <w:rPr>
                <w:sz w:val="20"/>
                <w:szCs w:val="20"/>
              </w:rPr>
            </w:pPr>
            <w:r w:rsidRPr="00492264">
              <w:rPr>
                <w:sz w:val="20"/>
                <w:szCs w:val="20"/>
              </w:rPr>
              <w:t>12,7%</w:t>
            </w:r>
          </w:p>
        </w:tc>
        <w:tc>
          <w:tcPr>
            <w:tcW w:w="1216" w:type="dxa"/>
            <w:vAlign w:val="center"/>
          </w:tcPr>
          <w:p w:rsidR="00DB5D17" w:rsidRPr="00492264" w:rsidRDefault="00DB5D17" w:rsidP="00D13B2B">
            <w:pPr>
              <w:contextualSpacing/>
              <w:jc w:val="center"/>
              <w:rPr>
                <w:sz w:val="20"/>
                <w:szCs w:val="20"/>
              </w:rPr>
            </w:pPr>
            <w:r w:rsidRPr="00492264">
              <w:rPr>
                <w:sz w:val="20"/>
                <w:szCs w:val="20"/>
              </w:rPr>
              <w:t>11,4%</w:t>
            </w:r>
          </w:p>
        </w:tc>
        <w:tc>
          <w:tcPr>
            <w:tcW w:w="1216" w:type="dxa"/>
            <w:vAlign w:val="center"/>
          </w:tcPr>
          <w:p w:rsidR="00DB5D17" w:rsidRPr="00492264" w:rsidRDefault="00DB5D17" w:rsidP="00D13B2B">
            <w:pPr>
              <w:contextualSpacing/>
              <w:jc w:val="center"/>
              <w:rPr>
                <w:sz w:val="20"/>
                <w:szCs w:val="20"/>
              </w:rPr>
            </w:pPr>
            <w:r w:rsidRPr="00492264">
              <w:rPr>
                <w:sz w:val="20"/>
                <w:szCs w:val="20"/>
              </w:rPr>
              <w:t>9,4%</w:t>
            </w:r>
          </w:p>
        </w:tc>
        <w:tc>
          <w:tcPr>
            <w:tcW w:w="1216" w:type="dxa"/>
            <w:vAlign w:val="center"/>
          </w:tcPr>
          <w:p w:rsidR="00DB5D17" w:rsidRPr="00492264" w:rsidRDefault="00DB5D17" w:rsidP="00D13B2B">
            <w:pPr>
              <w:contextualSpacing/>
              <w:jc w:val="center"/>
              <w:rPr>
                <w:sz w:val="20"/>
                <w:szCs w:val="20"/>
              </w:rPr>
            </w:pPr>
            <w:r w:rsidRPr="00492264">
              <w:rPr>
                <w:sz w:val="20"/>
                <w:szCs w:val="20"/>
              </w:rPr>
              <w:t>8,4%</w:t>
            </w:r>
          </w:p>
        </w:tc>
        <w:tc>
          <w:tcPr>
            <w:tcW w:w="1217" w:type="dxa"/>
            <w:vAlign w:val="center"/>
          </w:tcPr>
          <w:p w:rsidR="00DB5D17" w:rsidRPr="00492264" w:rsidRDefault="00DB5D17" w:rsidP="00D13B2B">
            <w:pPr>
              <w:contextualSpacing/>
              <w:jc w:val="center"/>
              <w:rPr>
                <w:sz w:val="20"/>
                <w:szCs w:val="20"/>
              </w:rPr>
            </w:pPr>
            <w:r w:rsidRPr="00492264">
              <w:rPr>
                <w:sz w:val="20"/>
                <w:szCs w:val="20"/>
              </w:rPr>
              <w:t>6,3%</w:t>
            </w:r>
          </w:p>
        </w:tc>
        <w:tc>
          <w:tcPr>
            <w:tcW w:w="1393" w:type="dxa"/>
            <w:vAlign w:val="center"/>
          </w:tcPr>
          <w:p w:rsidR="00DB5D17" w:rsidRPr="00492264" w:rsidRDefault="00DB5D17" w:rsidP="00D13B2B">
            <w:pPr>
              <w:contextualSpacing/>
              <w:jc w:val="center"/>
              <w:rPr>
                <w:sz w:val="20"/>
                <w:szCs w:val="20"/>
              </w:rPr>
            </w:pPr>
            <w:r w:rsidRPr="00492264">
              <w:rPr>
                <w:sz w:val="20"/>
                <w:szCs w:val="20"/>
              </w:rPr>
              <w:t>5,3%</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Північна Корея</w:t>
            </w:r>
          </w:p>
        </w:tc>
        <w:tc>
          <w:tcPr>
            <w:tcW w:w="1216" w:type="dxa"/>
            <w:vAlign w:val="center"/>
          </w:tcPr>
          <w:p w:rsidR="00DB5D17" w:rsidRPr="00492264" w:rsidRDefault="00DB5D17" w:rsidP="00D13B2B">
            <w:pPr>
              <w:contextualSpacing/>
              <w:jc w:val="center"/>
              <w:rPr>
                <w:sz w:val="20"/>
                <w:szCs w:val="20"/>
              </w:rPr>
            </w:pPr>
            <w:r w:rsidRPr="00492264">
              <w:rPr>
                <w:sz w:val="20"/>
                <w:szCs w:val="20"/>
              </w:rPr>
              <w:t>12,7%</w:t>
            </w:r>
          </w:p>
        </w:tc>
        <w:tc>
          <w:tcPr>
            <w:tcW w:w="1216" w:type="dxa"/>
            <w:vAlign w:val="center"/>
          </w:tcPr>
          <w:p w:rsidR="00DB5D17" w:rsidRPr="00492264" w:rsidRDefault="00DB5D17" w:rsidP="00D13B2B">
            <w:pPr>
              <w:contextualSpacing/>
              <w:jc w:val="center"/>
              <w:rPr>
                <w:sz w:val="20"/>
                <w:szCs w:val="20"/>
              </w:rPr>
            </w:pPr>
            <w:r w:rsidRPr="00492264">
              <w:rPr>
                <w:sz w:val="20"/>
                <w:szCs w:val="20"/>
              </w:rPr>
              <w:t>9,6%</w:t>
            </w:r>
          </w:p>
        </w:tc>
        <w:tc>
          <w:tcPr>
            <w:tcW w:w="1216" w:type="dxa"/>
            <w:vAlign w:val="center"/>
          </w:tcPr>
          <w:p w:rsidR="00DB5D17" w:rsidRPr="00492264" w:rsidRDefault="00DB5D17" w:rsidP="00D13B2B">
            <w:pPr>
              <w:contextualSpacing/>
              <w:jc w:val="center"/>
              <w:rPr>
                <w:sz w:val="20"/>
                <w:szCs w:val="20"/>
              </w:rPr>
            </w:pPr>
            <w:r w:rsidRPr="00492264">
              <w:rPr>
                <w:sz w:val="20"/>
                <w:szCs w:val="20"/>
              </w:rPr>
              <w:t>7,4%</w:t>
            </w:r>
          </w:p>
        </w:tc>
        <w:tc>
          <w:tcPr>
            <w:tcW w:w="1216" w:type="dxa"/>
            <w:vAlign w:val="center"/>
          </w:tcPr>
          <w:p w:rsidR="00DB5D17" w:rsidRPr="00492264" w:rsidRDefault="00DB5D17" w:rsidP="00D13B2B">
            <w:pPr>
              <w:contextualSpacing/>
              <w:jc w:val="center"/>
              <w:rPr>
                <w:sz w:val="20"/>
                <w:szCs w:val="20"/>
              </w:rPr>
            </w:pPr>
            <w:r w:rsidRPr="00492264">
              <w:rPr>
                <w:sz w:val="20"/>
                <w:szCs w:val="20"/>
              </w:rPr>
              <w:t>4,8%</w:t>
            </w:r>
          </w:p>
        </w:tc>
        <w:tc>
          <w:tcPr>
            <w:tcW w:w="1217" w:type="dxa"/>
            <w:vAlign w:val="center"/>
          </w:tcPr>
          <w:p w:rsidR="00DB5D17" w:rsidRPr="00492264" w:rsidRDefault="00DB5D17" w:rsidP="00D13B2B">
            <w:pPr>
              <w:contextualSpacing/>
              <w:jc w:val="center"/>
              <w:rPr>
                <w:sz w:val="20"/>
                <w:szCs w:val="20"/>
              </w:rPr>
            </w:pPr>
            <w:r w:rsidRPr="00492264">
              <w:rPr>
                <w:sz w:val="20"/>
                <w:szCs w:val="20"/>
              </w:rPr>
              <w:t>4,3%</w:t>
            </w:r>
          </w:p>
        </w:tc>
        <w:tc>
          <w:tcPr>
            <w:tcW w:w="1393" w:type="dxa"/>
            <w:vAlign w:val="center"/>
          </w:tcPr>
          <w:p w:rsidR="00DB5D17" w:rsidRPr="00492264" w:rsidRDefault="00DB5D17" w:rsidP="00D13B2B">
            <w:pPr>
              <w:contextualSpacing/>
              <w:jc w:val="center"/>
              <w:rPr>
                <w:sz w:val="20"/>
                <w:szCs w:val="20"/>
              </w:rPr>
            </w:pPr>
            <w:r w:rsidRPr="00492264">
              <w:rPr>
                <w:sz w:val="20"/>
                <w:szCs w:val="20"/>
              </w:rPr>
              <w:t>3,6%</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Німеччина</w:t>
            </w:r>
          </w:p>
        </w:tc>
        <w:tc>
          <w:tcPr>
            <w:tcW w:w="1216" w:type="dxa"/>
            <w:vAlign w:val="center"/>
          </w:tcPr>
          <w:p w:rsidR="00DB5D17" w:rsidRPr="00492264" w:rsidRDefault="00DB5D17" w:rsidP="00D13B2B">
            <w:pPr>
              <w:contextualSpacing/>
              <w:jc w:val="center"/>
              <w:rPr>
                <w:sz w:val="20"/>
                <w:szCs w:val="20"/>
              </w:rPr>
            </w:pPr>
            <w:r w:rsidRPr="00492264">
              <w:rPr>
                <w:sz w:val="20"/>
                <w:szCs w:val="20"/>
              </w:rPr>
              <w:t>25,6%</w:t>
            </w:r>
          </w:p>
        </w:tc>
        <w:tc>
          <w:tcPr>
            <w:tcW w:w="1216" w:type="dxa"/>
            <w:vAlign w:val="center"/>
          </w:tcPr>
          <w:p w:rsidR="00DB5D17" w:rsidRPr="00492264" w:rsidRDefault="00DB5D17" w:rsidP="00D13B2B">
            <w:pPr>
              <w:contextualSpacing/>
              <w:jc w:val="center"/>
              <w:rPr>
                <w:sz w:val="20"/>
                <w:szCs w:val="20"/>
              </w:rPr>
            </w:pPr>
            <w:r w:rsidRPr="00492264">
              <w:rPr>
                <w:sz w:val="20"/>
                <w:szCs w:val="20"/>
              </w:rPr>
              <w:t>5,7%</w:t>
            </w:r>
          </w:p>
        </w:tc>
        <w:tc>
          <w:tcPr>
            <w:tcW w:w="1216" w:type="dxa"/>
            <w:vAlign w:val="center"/>
          </w:tcPr>
          <w:p w:rsidR="00DB5D17" w:rsidRPr="00492264" w:rsidRDefault="00DB5D17" w:rsidP="00D13B2B">
            <w:pPr>
              <w:contextualSpacing/>
              <w:jc w:val="center"/>
              <w:rPr>
                <w:sz w:val="20"/>
                <w:szCs w:val="20"/>
              </w:rPr>
            </w:pPr>
            <w:r w:rsidRPr="00492264">
              <w:rPr>
                <w:sz w:val="20"/>
                <w:szCs w:val="20"/>
              </w:rPr>
              <w:t>7,4%</w:t>
            </w:r>
          </w:p>
        </w:tc>
        <w:tc>
          <w:tcPr>
            <w:tcW w:w="1216" w:type="dxa"/>
            <w:vAlign w:val="center"/>
          </w:tcPr>
          <w:p w:rsidR="00DB5D17" w:rsidRPr="00492264" w:rsidRDefault="00DB5D17" w:rsidP="00D13B2B">
            <w:pPr>
              <w:contextualSpacing/>
              <w:jc w:val="center"/>
              <w:rPr>
                <w:sz w:val="20"/>
                <w:szCs w:val="20"/>
              </w:rPr>
            </w:pPr>
            <w:r w:rsidRPr="00492264">
              <w:rPr>
                <w:sz w:val="20"/>
                <w:szCs w:val="20"/>
              </w:rPr>
              <w:t>6,9%</w:t>
            </w:r>
          </w:p>
        </w:tc>
        <w:tc>
          <w:tcPr>
            <w:tcW w:w="1217" w:type="dxa"/>
            <w:vAlign w:val="center"/>
          </w:tcPr>
          <w:p w:rsidR="00DB5D17" w:rsidRPr="00492264" w:rsidRDefault="00DB5D17" w:rsidP="00D13B2B">
            <w:pPr>
              <w:contextualSpacing/>
              <w:jc w:val="center"/>
              <w:rPr>
                <w:sz w:val="20"/>
                <w:szCs w:val="20"/>
              </w:rPr>
            </w:pPr>
            <w:r w:rsidRPr="00492264">
              <w:rPr>
                <w:sz w:val="20"/>
                <w:szCs w:val="20"/>
              </w:rPr>
              <w:t>6,5%</w:t>
            </w:r>
          </w:p>
        </w:tc>
        <w:tc>
          <w:tcPr>
            <w:tcW w:w="1393" w:type="dxa"/>
            <w:vAlign w:val="center"/>
          </w:tcPr>
          <w:p w:rsidR="00DB5D17" w:rsidRPr="00492264" w:rsidRDefault="00DB5D17" w:rsidP="00D13B2B">
            <w:pPr>
              <w:contextualSpacing/>
              <w:jc w:val="center"/>
              <w:rPr>
                <w:sz w:val="20"/>
                <w:szCs w:val="20"/>
              </w:rPr>
            </w:pPr>
            <w:r w:rsidRPr="00492264">
              <w:rPr>
                <w:sz w:val="20"/>
                <w:szCs w:val="20"/>
              </w:rPr>
              <w:t>6,1%</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Японія</w:t>
            </w:r>
          </w:p>
        </w:tc>
        <w:tc>
          <w:tcPr>
            <w:tcW w:w="1216" w:type="dxa"/>
            <w:vAlign w:val="center"/>
          </w:tcPr>
          <w:p w:rsidR="00DB5D17" w:rsidRPr="00492264" w:rsidRDefault="00DB5D17" w:rsidP="00D13B2B">
            <w:pPr>
              <w:contextualSpacing/>
              <w:jc w:val="center"/>
              <w:rPr>
                <w:sz w:val="20"/>
                <w:szCs w:val="20"/>
              </w:rPr>
            </w:pPr>
            <w:r w:rsidRPr="00492264">
              <w:rPr>
                <w:sz w:val="20"/>
                <w:szCs w:val="20"/>
              </w:rPr>
              <w:t>12,3%</w:t>
            </w:r>
          </w:p>
        </w:tc>
        <w:tc>
          <w:tcPr>
            <w:tcW w:w="1216" w:type="dxa"/>
            <w:vAlign w:val="center"/>
          </w:tcPr>
          <w:p w:rsidR="00DB5D17" w:rsidRPr="00492264" w:rsidRDefault="00DB5D17" w:rsidP="00D13B2B">
            <w:pPr>
              <w:contextualSpacing/>
              <w:jc w:val="center"/>
              <w:rPr>
                <w:sz w:val="20"/>
                <w:szCs w:val="20"/>
              </w:rPr>
            </w:pPr>
            <w:r w:rsidRPr="00492264">
              <w:rPr>
                <w:sz w:val="20"/>
                <w:szCs w:val="20"/>
              </w:rPr>
              <w:t>10,2%</w:t>
            </w:r>
          </w:p>
        </w:tc>
        <w:tc>
          <w:tcPr>
            <w:tcW w:w="1216" w:type="dxa"/>
            <w:vAlign w:val="center"/>
          </w:tcPr>
          <w:p w:rsidR="00DB5D17" w:rsidRPr="00492264" w:rsidRDefault="00DB5D17" w:rsidP="00D13B2B">
            <w:pPr>
              <w:contextualSpacing/>
              <w:jc w:val="center"/>
              <w:rPr>
                <w:sz w:val="20"/>
                <w:szCs w:val="20"/>
              </w:rPr>
            </w:pPr>
            <w:r w:rsidRPr="00492264">
              <w:rPr>
                <w:sz w:val="20"/>
                <w:szCs w:val="20"/>
              </w:rPr>
              <w:t>7,1%</w:t>
            </w:r>
          </w:p>
        </w:tc>
        <w:tc>
          <w:tcPr>
            <w:tcW w:w="1216" w:type="dxa"/>
            <w:vAlign w:val="center"/>
          </w:tcPr>
          <w:p w:rsidR="00DB5D17" w:rsidRPr="00492264" w:rsidRDefault="00DB5D17" w:rsidP="00D13B2B">
            <w:pPr>
              <w:contextualSpacing/>
              <w:jc w:val="center"/>
              <w:rPr>
                <w:sz w:val="20"/>
                <w:szCs w:val="20"/>
              </w:rPr>
            </w:pPr>
            <w:r w:rsidRPr="00492264">
              <w:rPr>
                <w:sz w:val="20"/>
                <w:szCs w:val="20"/>
              </w:rPr>
              <w:t>6,7%</w:t>
            </w:r>
          </w:p>
        </w:tc>
        <w:tc>
          <w:tcPr>
            <w:tcW w:w="1217" w:type="dxa"/>
            <w:vAlign w:val="center"/>
          </w:tcPr>
          <w:p w:rsidR="00DB5D17" w:rsidRPr="00492264" w:rsidRDefault="00DB5D17" w:rsidP="00D13B2B">
            <w:pPr>
              <w:contextualSpacing/>
              <w:jc w:val="center"/>
              <w:rPr>
                <w:sz w:val="20"/>
                <w:szCs w:val="20"/>
              </w:rPr>
            </w:pPr>
            <w:r w:rsidRPr="00492264">
              <w:rPr>
                <w:sz w:val="20"/>
                <w:szCs w:val="20"/>
              </w:rPr>
              <w:t>5,6%</w:t>
            </w:r>
          </w:p>
        </w:tc>
        <w:tc>
          <w:tcPr>
            <w:tcW w:w="1393" w:type="dxa"/>
            <w:vAlign w:val="center"/>
          </w:tcPr>
          <w:p w:rsidR="00DB5D17" w:rsidRPr="00492264" w:rsidRDefault="00DB5D17" w:rsidP="00D13B2B">
            <w:pPr>
              <w:contextualSpacing/>
              <w:jc w:val="center"/>
              <w:rPr>
                <w:sz w:val="20"/>
                <w:szCs w:val="20"/>
              </w:rPr>
            </w:pPr>
            <w:r w:rsidRPr="00492264">
              <w:rPr>
                <w:sz w:val="20"/>
                <w:szCs w:val="20"/>
              </w:rPr>
              <w:t>5,0%</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Австралія</w:t>
            </w:r>
          </w:p>
        </w:tc>
        <w:tc>
          <w:tcPr>
            <w:tcW w:w="1216" w:type="dxa"/>
            <w:vAlign w:val="center"/>
          </w:tcPr>
          <w:p w:rsidR="00DB5D17" w:rsidRPr="00492264" w:rsidRDefault="00DB5D17" w:rsidP="00D13B2B">
            <w:pPr>
              <w:contextualSpacing/>
              <w:jc w:val="center"/>
              <w:rPr>
                <w:sz w:val="20"/>
                <w:szCs w:val="20"/>
              </w:rPr>
            </w:pPr>
            <w:r w:rsidRPr="00492264">
              <w:rPr>
                <w:sz w:val="20"/>
                <w:szCs w:val="20"/>
              </w:rPr>
              <w:t>10,5%</w:t>
            </w:r>
          </w:p>
        </w:tc>
        <w:tc>
          <w:tcPr>
            <w:tcW w:w="1216" w:type="dxa"/>
            <w:vAlign w:val="center"/>
          </w:tcPr>
          <w:p w:rsidR="00DB5D17" w:rsidRPr="00492264" w:rsidRDefault="00DB5D17" w:rsidP="00D13B2B">
            <w:pPr>
              <w:contextualSpacing/>
              <w:jc w:val="center"/>
              <w:rPr>
                <w:sz w:val="20"/>
                <w:szCs w:val="20"/>
              </w:rPr>
            </w:pPr>
            <w:r w:rsidRPr="00492264">
              <w:rPr>
                <w:sz w:val="20"/>
                <w:szCs w:val="20"/>
              </w:rPr>
              <w:t>6,0%</w:t>
            </w:r>
          </w:p>
        </w:tc>
        <w:tc>
          <w:tcPr>
            <w:tcW w:w="1216" w:type="dxa"/>
            <w:vAlign w:val="center"/>
          </w:tcPr>
          <w:p w:rsidR="00DB5D17" w:rsidRPr="00492264" w:rsidRDefault="00DB5D17" w:rsidP="00D13B2B">
            <w:pPr>
              <w:contextualSpacing/>
              <w:jc w:val="center"/>
              <w:rPr>
                <w:sz w:val="20"/>
                <w:szCs w:val="20"/>
              </w:rPr>
            </w:pPr>
            <w:r w:rsidRPr="00492264">
              <w:rPr>
                <w:sz w:val="20"/>
                <w:szCs w:val="20"/>
              </w:rPr>
              <w:t>5,7%</w:t>
            </w:r>
          </w:p>
        </w:tc>
        <w:tc>
          <w:tcPr>
            <w:tcW w:w="1216" w:type="dxa"/>
            <w:vAlign w:val="center"/>
          </w:tcPr>
          <w:p w:rsidR="00DB5D17" w:rsidRPr="00492264" w:rsidRDefault="00DB5D17" w:rsidP="00D13B2B">
            <w:pPr>
              <w:contextualSpacing/>
              <w:jc w:val="center"/>
              <w:rPr>
                <w:sz w:val="20"/>
                <w:szCs w:val="20"/>
              </w:rPr>
            </w:pPr>
            <w:r w:rsidRPr="00492264">
              <w:rPr>
                <w:sz w:val="20"/>
                <w:szCs w:val="20"/>
              </w:rPr>
              <w:t>5,1%</w:t>
            </w:r>
          </w:p>
        </w:tc>
        <w:tc>
          <w:tcPr>
            <w:tcW w:w="1217" w:type="dxa"/>
            <w:vAlign w:val="center"/>
          </w:tcPr>
          <w:p w:rsidR="00DB5D17" w:rsidRPr="00492264" w:rsidRDefault="00DB5D17" w:rsidP="00D13B2B">
            <w:pPr>
              <w:contextualSpacing/>
              <w:jc w:val="center"/>
              <w:rPr>
                <w:sz w:val="20"/>
                <w:szCs w:val="20"/>
              </w:rPr>
            </w:pPr>
            <w:r w:rsidRPr="00492264">
              <w:rPr>
                <w:sz w:val="20"/>
                <w:szCs w:val="20"/>
              </w:rPr>
              <w:t>5,0%</w:t>
            </w:r>
          </w:p>
        </w:tc>
        <w:tc>
          <w:tcPr>
            <w:tcW w:w="1393" w:type="dxa"/>
            <w:vAlign w:val="center"/>
          </w:tcPr>
          <w:p w:rsidR="00DB5D17" w:rsidRPr="00492264" w:rsidRDefault="00DB5D17" w:rsidP="00D13B2B">
            <w:pPr>
              <w:contextualSpacing/>
              <w:jc w:val="center"/>
              <w:rPr>
                <w:sz w:val="20"/>
                <w:szCs w:val="20"/>
              </w:rPr>
            </w:pPr>
            <w:r w:rsidRPr="00492264">
              <w:rPr>
                <w:sz w:val="20"/>
                <w:szCs w:val="20"/>
              </w:rPr>
              <w:t>4,2%</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lastRenderedPageBreak/>
              <w:t>Фінляндія</w:t>
            </w:r>
          </w:p>
        </w:tc>
        <w:tc>
          <w:tcPr>
            <w:tcW w:w="1216" w:type="dxa"/>
            <w:vAlign w:val="center"/>
          </w:tcPr>
          <w:p w:rsidR="00DB5D17" w:rsidRPr="00492264" w:rsidRDefault="00DB5D17" w:rsidP="00D13B2B">
            <w:pPr>
              <w:contextualSpacing/>
              <w:jc w:val="center"/>
              <w:rPr>
                <w:sz w:val="20"/>
                <w:szCs w:val="20"/>
              </w:rPr>
            </w:pPr>
            <w:r w:rsidRPr="00492264">
              <w:rPr>
                <w:sz w:val="20"/>
                <w:szCs w:val="20"/>
              </w:rPr>
              <w:t>4,3%</w:t>
            </w:r>
          </w:p>
        </w:tc>
        <w:tc>
          <w:tcPr>
            <w:tcW w:w="1216" w:type="dxa"/>
            <w:vAlign w:val="center"/>
          </w:tcPr>
          <w:p w:rsidR="00DB5D17" w:rsidRPr="00492264" w:rsidRDefault="00DB5D17" w:rsidP="00D13B2B">
            <w:pPr>
              <w:contextualSpacing/>
              <w:jc w:val="center"/>
              <w:rPr>
                <w:sz w:val="20"/>
                <w:szCs w:val="20"/>
              </w:rPr>
            </w:pPr>
            <w:r w:rsidRPr="00492264">
              <w:rPr>
                <w:sz w:val="20"/>
                <w:szCs w:val="20"/>
              </w:rPr>
              <w:t>4,4%</w:t>
            </w:r>
          </w:p>
        </w:tc>
        <w:tc>
          <w:tcPr>
            <w:tcW w:w="1216" w:type="dxa"/>
            <w:vAlign w:val="center"/>
          </w:tcPr>
          <w:p w:rsidR="00DB5D17" w:rsidRPr="00492264" w:rsidRDefault="00DB5D17" w:rsidP="00D13B2B">
            <w:pPr>
              <w:contextualSpacing/>
              <w:jc w:val="center"/>
              <w:rPr>
                <w:sz w:val="20"/>
                <w:szCs w:val="20"/>
              </w:rPr>
            </w:pPr>
            <w:r w:rsidRPr="00492264">
              <w:rPr>
                <w:sz w:val="20"/>
                <w:szCs w:val="20"/>
              </w:rPr>
              <w:t>3,7%</w:t>
            </w:r>
          </w:p>
        </w:tc>
        <w:tc>
          <w:tcPr>
            <w:tcW w:w="1216" w:type="dxa"/>
            <w:vAlign w:val="center"/>
          </w:tcPr>
          <w:p w:rsidR="00DB5D17" w:rsidRPr="00492264" w:rsidRDefault="00DB5D17" w:rsidP="00D13B2B">
            <w:pPr>
              <w:contextualSpacing/>
              <w:jc w:val="center"/>
              <w:rPr>
                <w:sz w:val="20"/>
                <w:szCs w:val="20"/>
              </w:rPr>
            </w:pPr>
            <w:r w:rsidRPr="00492264">
              <w:rPr>
                <w:sz w:val="20"/>
                <w:szCs w:val="20"/>
              </w:rPr>
              <w:t>3,2%</w:t>
            </w:r>
          </w:p>
        </w:tc>
        <w:tc>
          <w:tcPr>
            <w:tcW w:w="1217" w:type="dxa"/>
            <w:vAlign w:val="center"/>
          </w:tcPr>
          <w:p w:rsidR="00DB5D17" w:rsidRPr="00492264" w:rsidRDefault="00DB5D17" w:rsidP="00D13B2B">
            <w:pPr>
              <w:contextualSpacing/>
              <w:jc w:val="center"/>
              <w:rPr>
                <w:sz w:val="20"/>
                <w:szCs w:val="20"/>
              </w:rPr>
            </w:pPr>
            <w:r w:rsidRPr="00492264">
              <w:rPr>
                <w:sz w:val="20"/>
                <w:szCs w:val="20"/>
              </w:rPr>
              <w:t>2,7%</w:t>
            </w:r>
          </w:p>
        </w:tc>
        <w:tc>
          <w:tcPr>
            <w:tcW w:w="1393" w:type="dxa"/>
            <w:vAlign w:val="center"/>
          </w:tcPr>
          <w:p w:rsidR="00DB5D17" w:rsidRPr="00492264" w:rsidRDefault="00DB5D17" w:rsidP="00D13B2B">
            <w:pPr>
              <w:contextualSpacing/>
              <w:jc w:val="center"/>
              <w:rPr>
                <w:sz w:val="20"/>
                <w:szCs w:val="20"/>
              </w:rPr>
            </w:pPr>
            <w:r w:rsidRPr="00492264">
              <w:rPr>
                <w:sz w:val="20"/>
                <w:szCs w:val="20"/>
              </w:rPr>
              <w:t>2,5%</w:t>
            </w:r>
          </w:p>
        </w:tc>
      </w:tr>
      <w:tr w:rsidR="00DB5D17" w:rsidRPr="00492264" w:rsidTr="00D13B2B">
        <w:tc>
          <w:tcPr>
            <w:tcW w:w="2165" w:type="dxa"/>
            <w:vAlign w:val="center"/>
          </w:tcPr>
          <w:p w:rsidR="00DB5D17" w:rsidRPr="00492264" w:rsidRDefault="00DB5D17" w:rsidP="00D13B2B">
            <w:pPr>
              <w:contextualSpacing/>
              <w:jc w:val="center"/>
              <w:rPr>
                <w:b/>
                <w:sz w:val="20"/>
                <w:szCs w:val="20"/>
              </w:rPr>
            </w:pPr>
            <w:r w:rsidRPr="00492264">
              <w:rPr>
                <w:b/>
                <w:sz w:val="20"/>
                <w:szCs w:val="20"/>
              </w:rPr>
              <w:t>Увесь світ</w:t>
            </w:r>
          </w:p>
        </w:tc>
        <w:tc>
          <w:tcPr>
            <w:tcW w:w="1216" w:type="dxa"/>
            <w:vAlign w:val="center"/>
          </w:tcPr>
          <w:p w:rsidR="00DB5D17" w:rsidRPr="00492264" w:rsidRDefault="00DB5D17" w:rsidP="00D13B2B">
            <w:pPr>
              <w:contextualSpacing/>
              <w:jc w:val="center"/>
              <w:rPr>
                <w:sz w:val="20"/>
                <w:szCs w:val="20"/>
              </w:rPr>
            </w:pPr>
            <w:r w:rsidRPr="00492264">
              <w:rPr>
                <w:sz w:val="20"/>
                <w:szCs w:val="20"/>
              </w:rPr>
              <w:t>22,3%</w:t>
            </w:r>
          </w:p>
        </w:tc>
        <w:tc>
          <w:tcPr>
            <w:tcW w:w="1216" w:type="dxa"/>
            <w:vAlign w:val="center"/>
          </w:tcPr>
          <w:p w:rsidR="00DB5D17" w:rsidRPr="00492264" w:rsidRDefault="00DB5D17" w:rsidP="00D13B2B">
            <w:pPr>
              <w:contextualSpacing/>
              <w:jc w:val="center"/>
              <w:rPr>
                <w:sz w:val="20"/>
                <w:szCs w:val="20"/>
              </w:rPr>
            </w:pPr>
            <w:r w:rsidRPr="00492264">
              <w:rPr>
                <w:sz w:val="20"/>
                <w:szCs w:val="20"/>
              </w:rPr>
              <w:t>18,3%</w:t>
            </w:r>
          </w:p>
        </w:tc>
        <w:tc>
          <w:tcPr>
            <w:tcW w:w="1216" w:type="dxa"/>
            <w:vAlign w:val="center"/>
          </w:tcPr>
          <w:p w:rsidR="00DB5D17" w:rsidRPr="00492264" w:rsidRDefault="00DB5D17" w:rsidP="00D13B2B">
            <w:pPr>
              <w:contextualSpacing/>
              <w:jc w:val="center"/>
              <w:rPr>
                <w:sz w:val="20"/>
                <w:szCs w:val="20"/>
              </w:rPr>
            </w:pPr>
            <w:r w:rsidRPr="00492264">
              <w:rPr>
                <w:sz w:val="20"/>
                <w:szCs w:val="20"/>
              </w:rPr>
              <w:t>20,2%</w:t>
            </w:r>
          </w:p>
        </w:tc>
        <w:tc>
          <w:tcPr>
            <w:tcW w:w="1216" w:type="dxa"/>
            <w:vAlign w:val="center"/>
          </w:tcPr>
          <w:p w:rsidR="00DB5D17" w:rsidRPr="00492264" w:rsidRDefault="00DB5D17" w:rsidP="00D13B2B">
            <w:pPr>
              <w:contextualSpacing/>
              <w:jc w:val="center"/>
              <w:rPr>
                <w:sz w:val="20"/>
                <w:szCs w:val="20"/>
              </w:rPr>
            </w:pPr>
            <w:r w:rsidRPr="00492264">
              <w:rPr>
                <w:sz w:val="20"/>
                <w:szCs w:val="20"/>
              </w:rPr>
              <w:t>17,7%</w:t>
            </w:r>
          </w:p>
        </w:tc>
        <w:tc>
          <w:tcPr>
            <w:tcW w:w="1217" w:type="dxa"/>
            <w:vAlign w:val="center"/>
          </w:tcPr>
          <w:p w:rsidR="00DB5D17" w:rsidRPr="00492264" w:rsidRDefault="00DB5D17" w:rsidP="00D13B2B">
            <w:pPr>
              <w:contextualSpacing/>
              <w:jc w:val="center"/>
              <w:rPr>
                <w:sz w:val="20"/>
                <w:szCs w:val="20"/>
              </w:rPr>
            </w:pPr>
            <w:r w:rsidRPr="00492264">
              <w:rPr>
                <w:sz w:val="20"/>
                <w:szCs w:val="20"/>
              </w:rPr>
              <w:t>15,9%</w:t>
            </w:r>
          </w:p>
        </w:tc>
        <w:tc>
          <w:tcPr>
            <w:tcW w:w="1393" w:type="dxa"/>
            <w:vAlign w:val="center"/>
          </w:tcPr>
          <w:p w:rsidR="00DB5D17" w:rsidRPr="00492264" w:rsidRDefault="00DB5D17" w:rsidP="00D13B2B">
            <w:pPr>
              <w:contextualSpacing/>
              <w:jc w:val="center"/>
              <w:rPr>
                <w:sz w:val="20"/>
                <w:szCs w:val="20"/>
              </w:rPr>
            </w:pPr>
            <w:r w:rsidRPr="00492264">
              <w:rPr>
                <w:sz w:val="20"/>
                <w:szCs w:val="20"/>
              </w:rPr>
              <w:t>14,8%</w:t>
            </w:r>
          </w:p>
        </w:tc>
      </w:tr>
    </w:tbl>
    <w:bookmarkEnd w:id="17"/>
    <w:bookmarkEnd w:id="18"/>
    <w:p w:rsidR="00DB5D17" w:rsidRPr="00D72FCE" w:rsidRDefault="00DB5D17" w:rsidP="00DB5D17">
      <w:pPr>
        <w:contextualSpacing/>
        <w:rPr>
          <w:i/>
          <w:sz w:val="20"/>
          <w:szCs w:val="20"/>
        </w:rPr>
      </w:pPr>
      <w:r w:rsidRPr="00D72FCE">
        <w:rPr>
          <w:i/>
          <w:sz w:val="20"/>
          <w:szCs w:val="20"/>
        </w:rPr>
        <w:t>Примітка. Складено автором за даними Morgan Stanley Research.</w:t>
      </w:r>
      <w:bookmarkEnd w:id="4"/>
      <w:bookmarkEnd w:id="5"/>
      <w:bookmarkEnd w:id="6"/>
      <w:bookmarkEnd w:id="11"/>
      <w:bookmarkEnd w:id="12"/>
      <w:bookmarkEnd w:id="13"/>
      <w:bookmarkEnd w:id="14"/>
      <w:bookmarkEnd w:id="15"/>
      <w:bookmarkEnd w:id="16"/>
    </w:p>
    <w:p w:rsidR="00DB5D17" w:rsidRPr="00492264" w:rsidRDefault="00DB5D17" w:rsidP="00DB5D17">
      <w:pPr>
        <w:contextualSpacing/>
        <w:rPr>
          <w:sz w:val="20"/>
          <w:szCs w:val="20"/>
        </w:rPr>
      </w:pPr>
    </w:p>
    <w:p w:rsidR="00DB5D17" w:rsidRPr="00492264" w:rsidRDefault="00DB5D17" w:rsidP="00DB5D17">
      <w:pPr>
        <w:ind w:firstLine="709"/>
        <w:contextualSpacing/>
        <w:jc w:val="both"/>
        <w:rPr>
          <w:sz w:val="20"/>
          <w:szCs w:val="20"/>
        </w:rPr>
      </w:pPr>
      <w:r w:rsidRPr="00492264">
        <w:rPr>
          <w:sz w:val="20"/>
          <w:szCs w:val="20"/>
        </w:rPr>
        <w:t>У світі існують мільйони сайтів, що займаються Інтернет-торгівлею.  Найбільші з них:</w:t>
      </w:r>
    </w:p>
    <w:p w:rsidR="00DB5D17" w:rsidRPr="00492264" w:rsidRDefault="00DB5D17" w:rsidP="00DB5D17">
      <w:pPr>
        <w:numPr>
          <w:ilvl w:val="0"/>
          <w:numId w:val="2"/>
        </w:numPr>
        <w:contextualSpacing/>
        <w:jc w:val="both"/>
        <w:rPr>
          <w:sz w:val="20"/>
          <w:szCs w:val="20"/>
        </w:rPr>
      </w:pPr>
      <w:r w:rsidRPr="00492264">
        <w:rPr>
          <w:sz w:val="20"/>
          <w:szCs w:val="20"/>
        </w:rPr>
        <w:t xml:space="preserve">Amazon. </w:t>
      </w:r>
    </w:p>
    <w:p w:rsidR="00DB5D17" w:rsidRPr="00492264" w:rsidRDefault="00DB5D17" w:rsidP="00DB5D17">
      <w:pPr>
        <w:ind w:firstLine="709"/>
        <w:contextualSpacing/>
        <w:jc w:val="both"/>
        <w:rPr>
          <w:sz w:val="20"/>
          <w:szCs w:val="20"/>
        </w:rPr>
      </w:pPr>
      <w:r w:rsidRPr="00492264">
        <w:rPr>
          <w:sz w:val="20"/>
          <w:szCs w:val="20"/>
        </w:rPr>
        <w:t>Даний інтернет-портал вважається найстарішим порталом, призначеним для онлайн покупок. Його робота розпочалася в 1995 році. Його назву часто пов'язують з назвою самої повноводної річки у світі − Амазонки. Amazon має справу з усіма видами нових та уживаних товарів, включаючи техніку, книги, одяг і навіть транспортні засоби. Amazon базується у Вашингтоні, але його робота ведеться по всьому світу. Вартість компанії оцінюється приблизно в 35 млрд. доларів США.</w:t>
      </w:r>
    </w:p>
    <w:p w:rsidR="00DB5D17" w:rsidRPr="00492264" w:rsidRDefault="00DB5D17" w:rsidP="00DB5D17">
      <w:pPr>
        <w:numPr>
          <w:ilvl w:val="0"/>
          <w:numId w:val="2"/>
        </w:numPr>
        <w:contextualSpacing/>
        <w:jc w:val="both"/>
        <w:rPr>
          <w:sz w:val="20"/>
          <w:szCs w:val="20"/>
        </w:rPr>
      </w:pPr>
      <w:r w:rsidRPr="00492264">
        <w:rPr>
          <w:sz w:val="20"/>
          <w:szCs w:val="20"/>
        </w:rPr>
        <w:t xml:space="preserve">eBay. </w:t>
      </w:r>
    </w:p>
    <w:p w:rsidR="00DB5D17" w:rsidRPr="00492264" w:rsidRDefault="00DB5D17" w:rsidP="00DB5D17">
      <w:pPr>
        <w:ind w:firstLine="709"/>
        <w:contextualSpacing/>
        <w:jc w:val="both"/>
        <w:rPr>
          <w:sz w:val="20"/>
          <w:szCs w:val="20"/>
        </w:rPr>
      </w:pPr>
      <w:r w:rsidRPr="00492264">
        <w:rPr>
          <w:sz w:val="20"/>
          <w:szCs w:val="20"/>
        </w:rPr>
        <w:t xml:space="preserve">eBay наступний за значимістю після Amazon Інтернет-магазин. Або, можливо, вони на рівних. eBay − це не тільки найбільший Веб-сайт, але і аукціон. Тут можна купити нові та вживані товари, а також продати Ваші старі речі на аукціоні. eBay, за оцінками, коштує приблизно 10 мільярдів дол. США. Це також одна з найстаріших онлайн-компаній, яка почала свою роботу в 1995році. </w:t>
      </w:r>
    </w:p>
    <w:p w:rsidR="00DB5D17" w:rsidRPr="00492264" w:rsidRDefault="00DB5D17" w:rsidP="00DB5D17">
      <w:pPr>
        <w:numPr>
          <w:ilvl w:val="0"/>
          <w:numId w:val="2"/>
        </w:numPr>
        <w:contextualSpacing/>
        <w:jc w:val="both"/>
        <w:rPr>
          <w:sz w:val="20"/>
          <w:szCs w:val="20"/>
        </w:rPr>
      </w:pPr>
      <w:r w:rsidRPr="00492264">
        <w:rPr>
          <w:sz w:val="20"/>
          <w:szCs w:val="20"/>
        </w:rPr>
        <w:t xml:space="preserve">Walmart. </w:t>
      </w:r>
    </w:p>
    <w:p w:rsidR="00DB5D17" w:rsidRPr="00492264" w:rsidRDefault="00DB5D17" w:rsidP="00DB5D17">
      <w:pPr>
        <w:ind w:firstLine="709"/>
        <w:contextualSpacing/>
        <w:jc w:val="both"/>
        <w:rPr>
          <w:sz w:val="20"/>
          <w:szCs w:val="20"/>
        </w:rPr>
      </w:pPr>
      <w:r w:rsidRPr="00492264">
        <w:rPr>
          <w:sz w:val="20"/>
          <w:szCs w:val="20"/>
        </w:rPr>
        <w:t>Walmart − дуже стара компанія. Її історія налічує більше 60 років. Вона зародилася в 1962 році як ланцюг роздрібних магазинів, де люди могли купити бакалію та інший товар за зниженою ціною. Walmart − інтернет-магазин, який володіє при цьому мережею роздрібних магазинів в найбільших країнах по всьому світу. Його передбачувана вартість становить близько  425 мільярдів дол. США, яка робить його однією з найбільших і найбагатших компаній у світі.</w:t>
      </w:r>
    </w:p>
    <w:p w:rsidR="00DB5D17" w:rsidRPr="00492264" w:rsidRDefault="00DB5D17" w:rsidP="00DB5D17">
      <w:pPr>
        <w:numPr>
          <w:ilvl w:val="0"/>
          <w:numId w:val="2"/>
        </w:numPr>
        <w:contextualSpacing/>
        <w:jc w:val="both"/>
        <w:rPr>
          <w:sz w:val="20"/>
          <w:szCs w:val="20"/>
        </w:rPr>
      </w:pPr>
      <w:r w:rsidRPr="00492264">
        <w:rPr>
          <w:sz w:val="20"/>
          <w:szCs w:val="20"/>
        </w:rPr>
        <w:t xml:space="preserve">BestBuy. </w:t>
      </w:r>
    </w:p>
    <w:p w:rsidR="00DB5D17" w:rsidRPr="00492264" w:rsidRDefault="00DB5D17" w:rsidP="00DB5D17">
      <w:pPr>
        <w:ind w:firstLine="709"/>
        <w:contextualSpacing/>
        <w:jc w:val="both"/>
        <w:rPr>
          <w:sz w:val="20"/>
          <w:szCs w:val="20"/>
        </w:rPr>
      </w:pPr>
      <w:r w:rsidRPr="00492264">
        <w:rPr>
          <w:sz w:val="20"/>
          <w:szCs w:val="20"/>
        </w:rPr>
        <w:t>Один з кращих рітейлерів електроніки в світі. Товарний асортимент коливається від гаджетів, ноутбуків, DVD, рідкокристалічних екранів, планшетів і т.д. Його приблизна вартість становить 50,3 мільярдів дол. США, роблячи його одним з найбагатших інтернет-магазинів в світі.</w:t>
      </w:r>
    </w:p>
    <w:p w:rsidR="00DB5D17" w:rsidRPr="00492264" w:rsidRDefault="00DB5D17" w:rsidP="00DB5D17">
      <w:pPr>
        <w:numPr>
          <w:ilvl w:val="0"/>
          <w:numId w:val="2"/>
        </w:numPr>
        <w:contextualSpacing/>
        <w:jc w:val="both"/>
        <w:rPr>
          <w:sz w:val="20"/>
          <w:szCs w:val="20"/>
        </w:rPr>
      </w:pPr>
      <w:r w:rsidRPr="00492264">
        <w:rPr>
          <w:sz w:val="20"/>
          <w:szCs w:val="20"/>
        </w:rPr>
        <w:t xml:space="preserve">Target. </w:t>
      </w:r>
    </w:p>
    <w:p w:rsidR="00DB5D17" w:rsidRPr="00492264" w:rsidRDefault="00DB5D17" w:rsidP="00DB5D17">
      <w:pPr>
        <w:ind w:firstLine="709"/>
        <w:contextualSpacing/>
        <w:jc w:val="both"/>
        <w:rPr>
          <w:sz w:val="20"/>
          <w:szCs w:val="20"/>
        </w:rPr>
      </w:pPr>
      <w:r w:rsidRPr="00492264">
        <w:rPr>
          <w:sz w:val="20"/>
          <w:szCs w:val="20"/>
        </w:rPr>
        <w:t> Це  друга за величиною компанія з продажу в роздріб після Walmart. Це також один з найпопулярніших веб-сайтів покупок в межах США. Вартість компанії  67,4 млрд. дол. США.</w:t>
      </w:r>
    </w:p>
    <w:p w:rsidR="00DB5D17" w:rsidRPr="00492264" w:rsidRDefault="00DB5D17" w:rsidP="00DB5D17">
      <w:pPr>
        <w:numPr>
          <w:ilvl w:val="0"/>
          <w:numId w:val="2"/>
        </w:numPr>
        <w:contextualSpacing/>
        <w:jc w:val="both"/>
        <w:rPr>
          <w:sz w:val="20"/>
          <w:szCs w:val="20"/>
        </w:rPr>
      </w:pPr>
      <w:r w:rsidRPr="00492264">
        <w:rPr>
          <w:sz w:val="20"/>
          <w:szCs w:val="20"/>
        </w:rPr>
        <w:t xml:space="preserve">Alibaba. </w:t>
      </w:r>
    </w:p>
    <w:p w:rsidR="00DB5D17" w:rsidRPr="00492264" w:rsidRDefault="00DB5D17" w:rsidP="00DB5D17">
      <w:pPr>
        <w:ind w:firstLine="709"/>
        <w:contextualSpacing/>
        <w:jc w:val="both"/>
        <w:rPr>
          <w:sz w:val="20"/>
          <w:szCs w:val="20"/>
        </w:rPr>
      </w:pPr>
      <w:r w:rsidRPr="00492264">
        <w:rPr>
          <w:sz w:val="20"/>
          <w:szCs w:val="20"/>
        </w:rPr>
        <w:t>Alibaba − китайська компанія електронної комерції, яка відносно недавно почала свою роботу (2007 рік). Вона має мільйонні доходи і знаходиться серед кращих 100 веб-сайтів у світі.</w:t>
      </w:r>
    </w:p>
    <w:p w:rsidR="00DB5D17" w:rsidRPr="00492264" w:rsidRDefault="00DB5D17" w:rsidP="00DB5D17">
      <w:pPr>
        <w:ind w:firstLine="709"/>
        <w:contextualSpacing/>
        <w:jc w:val="both"/>
        <w:rPr>
          <w:sz w:val="20"/>
          <w:szCs w:val="20"/>
        </w:rPr>
      </w:pPr>
      <w:r w:rsidRPr="00492264">
        <w:rPr>
          <w:sz w:val="20"/>
          <w:szCs w:val="20"/>
        </w:rPr>
        <w:t>7. NewEgg.</w:t>
      </w:r>
    </w:p>
    <w:p w:rsidR="00DB5D17" w:rsidRPr="00492264" w:rsidRDefault="00DB5D17" w:rsidP="00DB5D17">
      <w:pPr>
        <w:ind w:firstLine="709"/>
        <w:contextualSpacing/>
        <w:jc w:val="both"/>
        <w:rPr>
          <w:sz w:val="20"/>
          <w:szCs w:val="20"/>
        </w:rPr>
      </w:pPr>
      <w:r w:rsidRPr="00492264">
        <w:rPr>
          <w:sz w:val="20"/>
          <w:szCs w:val="20"/>
        </w:rPr>
        <w:t>Заснований в 2001 році, NewEgg зробив свою репутацію за допомогою торгівлі такими товарами як комп'ютерні приналежності, програмне забезпечення, DVD, ігри, аксесуари та інші пристрої. Компанія оцінюється приблизно в 2,3 мільярда дол. США.</w:t>
      </w:r>
    </w:p>
    <w:p w:rsidR="00DB5D17" w:rsidRPr="00492264" w:rsidRDefault="00DB5D17" w:rsidP="00DB5D17">
      <w:pPr>
        <w:ind w:firstLine="709"/>
        <w:contextualSpacing/>
        <w:jc w:val="both"/>
        <w:rPr>
          <w:sz w:val="20"/>
          <w:szCs w:val="20"/>
        </w:rPr>
      </w:pPr>
      <w:r w:rsidRPr="00492264">
        <w:rPr>
          <w:sz w:val="20"/>
          <w:szCs w:val="20"/>
        </w:rPr>
        <w:t>8. Macy's.</w:t>
      </w:r>
    </w:p>
    <w:p w:rsidR="00DB5D17" w:rsidRPr="00492264" w:rsidRDefault="00DB5D17" w:rsidP="00DB5D17">
      <w:pPr>
        <w:ind w:firstLine="709"/>
        <w:contextualSpacing/>
        <w:jc w:val="both"/>
        <w:rPr>
          <w:sz w:val="20"/>
          <w:szCs w:val="20"/>
        </w:rPr>
      </w:pPr>
      <w:r w:rsidRPr="00492264">
        <w:rPr>
          <w:sz w:val="20"/>
          <w:szCs w:val="20"/>
        </w:rPr>
        <w:t>Мейсі − інша дуже стара мережа універсальних магазинів. Вона виникла в 1858 році. За ці роки вартість компанії збільшилася до 25</w:t>
      </w:r>
      <w:r w:rsidRPr="00492264">
        <w:rPr>
          <w:rStyle w:val="notranslate"/>
          <w:rFonts w:ascii="Georgia" w:hAnsi="Georgia"/>
          <w:color w:val="282828"/>
          <w:sz w:val="20"/>
          <w:szCs w:val="20"/>
        </w:rPr>
        <w:t xml:space="preserve"> </w:t>
      </w:r>
      <w:r w:rsidRPr="00492264">
        <w:rPr>
          <w:sz w:val="20"/>
          <w:szCs w:val="20"/>
        </w:rPr>
        <w:t>мільярдів дол. США. Тепер вона спеціалізується на одязі, взутті, аксесуарах, косметиці, коштовностях і т.д.</w:t>
      </w:r>
    </w:p>
    <w:p w:rsidR="00DB5D17" w:rsidRPr="00492264" w:rsidRDefault="00DB5D17" w:rsidP="00DB5D17">
      <w:pPr>
        <w:ind w:firstLine="709"/>
        <w:contextualSpacing/>
        <w:jc w:val="both"/>
        <w:rPr>
          <w:sz w:val="20"/>
          <w:szCs w:val="20"/>
        </w:rPr>
      </w:pPr>
      <w:r w:rsidRPr="00492264">
        <w:rPr>
          <w:sz w:val="20"/>
          <w:szCs w:val="20"/>
        </w:rPr>
        <w:t>9. Overstock.</w:t>
      </w:r>
    </w:p>
    <w:p w:rsidR="00DB5D17" w:rsidRPr="00492264" w:rsidRDefault="00DB5D17" w:rsidP="00DB5D17">
      <w:pPr>
        <w:ind w:firstLine="709"/>
        <w:contextualSpacing/>
        <w:jc w:val="both"/>
        <w:rPr>
          <w:sz w:val="20"/>
          <w:szCs w:val="20"/>
        </w:rPr>
      </w:pPr>
      <w:r w:rsidRPr="00492264">
        <w:rPr>
          <w:sz w:val="20"/>
          <w:szCs w:val="20"/>
        </w:rPr>
        <w:t>Дана компанія оцінюється всього в 1,1 млрд. дол. США.  Це найменш цінна компанія в даному списку, але це не применшує її значення. Раніше відома як Discounts Direct, компанія була перейменована. З тих пір їх асортимент виріс і в продажу є все − від продуктів до спортивних товарів і електроніки.</w:t>
      </w:r>
    </w:p>
    <w:p w:rsidR="00DB5D17" w:rsidRPr="00492264" w:rsidRDefault="00DB5D17" w:rsidP="00DB5D17">
      <w:pPr>
        <w:ind w:firstLine="709"/>
        <w:contextualSpacing/>
        <w:jc w:val="both"/>
        <w:rPr>
          <w:sz w:val="20"/>
          <w:szCs w:val="20"/>
        </w:rPr>
      </w:pPr>
      <w:r w:rsidRPr="00492264">
        <w:rPr>
          <w:sz w:val="20"/>
          <w:szCs w:val="20"/>
        </w:rPr>
        <w:t>10. Barnes and Noble.</w:t>
      </w:r>
    </w:p>
    <w:p w:rsidR="00DB5D17" w:rsidRPr="00492264" w:rsidRDefault="00DB5D17" w:rsidP="00DB5D17">
      <w:pPr>
        <w:ind w:firstLine="709"/>
        <w:contextualSpacing/>
        <w:jc w:val="both"/>
        <w:rPr>
          <w:sz w:val="20"/>
          <w:szCs w:val="20"/>
        </w:rPr>
      </w:pPr>
      <w:r w:rsidRPr="00492264">
        <w:rPr>
          <w:sz w:val="20"/>
          <w:szCs w:val="20"/>
        </w:rPr>
        <w:t>Це роздрібний книжковий магазин, який також має справу з товарами, необхідними користувачам електронних книг і планшетів. І для такої невеликої компанії стан за 5,12 мільярдів дол. США − великий успіх.</w:t>
      </w:r>
    </w:p>
    <w:p w:rsidR="00DB5D17" w:rsidRPr="00492264" w:rsidRDefault="00DB5D17" w:rsidP="00DB5D17">
      <w:pPr>
        <w:ind w:firstLine="709"/>
        <w:contextualSpacing/>
        <w:jc w:val="both"/>
        <w:rPr>
          <w:sz w:val="20"/>
          <w:szCs w:val="20"/>
        </w:rPr>
      </w:pPr>
      <w:r w:rsidRPr="00492264">
        <w:rPr>
          <w:sz w:val="20"/>
          <w:szCs w:val="20"/>
        </w:rPr>
        <w:t>Серед пристроїв, що використовуються для замовлень в рамках інтернет-торгівлі, найбільший відсоток поки припадає на персональні комп'ютери (82%), тим не менш, стрімко збільшуються і частки замовлень, зроблених за допомогою смартфонів і планшетних ПК (рис. 3.):</w:t>
      </w:r>
    </w:p>
    <w:p w:rsidR="00DB5D17" w:rsidRPr="00492264" w:rsidRDefault="00DB5D17" w:rsidP="00DB5D17">
      <w:pPr>
        <w:ind w:firstLine="709"/>
        <w:contextualSpacing/>
        <w:jc w:val="both"/>
        <w:rPr>
          <w:sz w:val="20"/>
          <w:szCs w:val="20"/>
        </w:rPr>
      </w:pPr>
    </w:p>
    <w:p w:rsidR="00DB5D17" w:rsidRPr="00492264" w:rsidRDefault="00DB5D17" w:rsidP="00DB5D17">
      <w:pPr>
        <w:contextualSpacing/>
        <w:jc w:val="both"/>
        <w:rPr>
          <w:sz w:val="20"/>
          <w:szCs w:val="20"/>
        </w:rPr>
      </w:pPr>
      <w:r w:rsidRPr="00492264">
        <w:rPr>
          <w:noProof/>
          <w:sz w:val="20"/>
          <w:szCs w:val="20"/>
        </w:rPr>
        <w:drawing>
          <wp:inline distT="0" distB="0" distL="0" distR="0" wp14:anchorId="14CAF5C1" wp14:editId="4942A948">
            <wp:extent cx="6092205" cy="2011680"/>
            <wp:effectExtent l="19050" t="19050" r="22860" b="266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105525" cy="2016078"/>
                    </a:xfrm>
                    <a:prstGeom prst="rect">
                      <a:avLst/>
                    </a:prstGeom>
                    <a:noFill/>
                    <a:ln w="19050" cmpd="sng">
                      <a:solidFill>
                        <a:srgbClr val="000000"/>
                      </a:solidFill>
                      <a:miter lim="800000"/>
                      <a:headEnd/>
                      <a:tailEnd/>
                    </a:ln>
                    <a:effectLst/>
                  </pic:spPr>
                </pic:pic>
              </a:graphicData>
            </a:graphic>
          </wp:inline>
        </w:drawing>
      </w:r>
    </w:p>
    <w:p w:rsidR="00DB5D17" w:rsidRPr="00492264" w:rsidRDefault="00DB5D17" w:rsidP="00DB5D17">
      <w:pPr>
        <w:contextualSpacing/>
        <w:jc w:val="both"/>
        <w:rPr>
          <w:b/>
          <w:sz w:val="20"/>
          <w:szCs w:val="20"/>
        </w:rPr>
      </w:pPr>
      <w:r w:rsidRPr="00492264">
        <w:rPr>
          <w:b/>
          <w:sz w:val="20"/>
          <w:szCs w:val="20"/>
        </w:rPr>
        <w:tab/>
        <w:t>Рис. 3. Структура використовуваної техніки при замовленні товарів через Інтернет.</w:t>
      </w:r>
    </w:p>
    <w:p w:rsidR="00DB5D17" w:rsidRPr="00D72FCE" w:rsidRDefault="00DB5D17" w:rsidP="00DB5D17">
      <w:pPr>
        <w:contextualSpacing/>
        <w:jc w:val="both"/>
        <w:outlineLvl w:val="0"/>
        <w:rPr>
          <w:rStyle w:val="notranslate"/>
          <w:i/>
          <w:sz w:val="20"/>
          <w:szCs w:val="20"/>
        </w:rPr>
      </w:pPr>
      <w:r w:rsidRPr="00D72FCE">
        <w:rPr>
          <w:i/>
          <w:sz w:val="20"/>
          <w:szCs w:val="20"/>
        </w:rPr>
        <w:t xml:space="preserve">Примітка. Побудовано автором за даними агентства </w:t>
      </w:r>
      <w:r w:rsidRPr="00D72FCE">
        <w:rPr>
          <w:rStyle w:val="notranslate"/>
          <w:i/>
          <w:sz w:val="20"/>
          <w:szCs w:val="20"/>
        </w:rPr>
        <w:t>eMarketer's.</w:t>
      </w:r>
    </w:p>
    <w:p w:rsidR="00DB5D17" w:rsidRPr="00492264" w:rsidRDefault="00DB5D17" w:rsidP="00DB5D17">
      <w:pPr>
        <w:contextualSpacing/>
        <w:jc w:val="both"/>
        <w:rPr>
          <w:b/>
          <w:sz w:val="20"/>
          <w:szCs w:val="20"/>
        </w:rPr>
      </w:pPr>
    </w:p>
    <w:p w:rsidR="00DB5D17" w:rsidRPr="00492264" w:rsidRDefault="00DB5D17" w:rsidP="00DB5D17">
      <w:pPr>
        <w:ind w:firstLine="709"/>
        <w:contextualSpacing/>
        <w:jc w:val="both"/>
        <w:rPr>
          <w:sz w:val="20"/>
          <w:szCs w:val="20"/>
        </w:rPr>
      </w:pPr>
      <w:r w:rsidRPr="00492264">
        <w:rPr>
          <w:sz w:val="20"/>
          <w:szCs w:val="20"/>
        </w:rPr>
        <w:lastRenderedPageBreak/>
        <w:t>На сучасному етапі розвитку ринку Інтернет-торгівлі зростає роль мобільних телефонів (смартфонів) у здійсненні покупок.</w:t>
      </w:r>
    </w:p>
    <w:p w:rsidR="00DB5D17" w:rsidRPr="00492264" w:rsidRDefault="00DB5D17" w:rsidP="00DB5D17">
      <w:pPr>
        <w:ind w:firstLine="709"/>
        <w:contextualSpacing/>
        <w:jc w:val="both"/>
        <w:rPr>
          <w:sz w:val="20"/>
          <w:szCs w:val="20"/>
        </w:rPr>
      </w:pPr>
      <w:r w:rsidRPr="00492264">
        <w:rPr>
          <w:sz w:val="20"/>
          <w:szCs w:val="20"/>
        </w:rPr>
        <w:t>Дослідження показало, що дев’ять з десяти власників мобільних телефонів у Бразилії та більше 50% у Великобританії використовують мобільні пристрої для вивчення пропозицій роздрібних торговців [3].</w:t>
      </w:r>
    </w:p>
    <w:p w:rsidR="00DB5D17" w:rsidRPr="00492264" w:rsidRDefault="00DB5D17" w:rsidP="00DB5D17">
      <w:pPr>
        <w:ind w:firstLine="709"/>
        <w:contextualSpacing/>
        <w:jc w:val="both"/>
        <w:rPr>
          <w:sz w:val="20"/>
          <w:szCs w:val="20"/>
        </w:rPr>
      </w:pPr>
      <w:r w:rsidRPr="00492264">
        <w:rPr>
          <w:sz w:val="20"/>
          <w:szCs w:val="20"/>
        </w:rPr>
        <w:t>Протягом останніх років спостерігається поступове перетворення сайтів роздрібних торговців на товарні енциклопедії з детальним описом товарних позицій, відгуками (оглядами). Наприклад, веб-сайт онлайн роздрібного торговця одягом Net-a-Porter є інтерактивним, він демонструє чисельні моделі, специфіку підбору потрібного розміру з урахуванням дизайну. Редактори враховують усі особливо важливі думки відвідувачів сайту, відслідковують модні тренди і пропонують різні варіанти поєднання одягу. Споживачі також можуть отримати консультацію у радників зі сфери моди та пораду щодо формування гардеробу [4].</w:t>
      </w:r>
    </w:p>
    <w:p w:rsidR="00DB5D17" w:rsidRPr="00492264" w:rsidRDefault="00DB5D17" w:rsidP="00DB5D17">
      <w:pPr>
        <w:ind w:firstLine="709"/>
        <w:contextualSpacing/>
        <w:jc w:val="both"/>
        <w:rPr>
          <w:sz w:val="20"/>
          <w:szCs w:val="20"/>
        </w:rPr>
      </w:pPr>
      <w:r w:rsidRPr="00492264">
        <w:rPr>
          <w:sz w:val="20"/>
          <w:szCs w:val="20"/>
        </w:rPr>
        <w:t>Для контакту зі споживачами роздрібні торговці використовують соціальні мережі, але у різних напрямках. Наприклад, багато китайських роздрібних торговців заохочують споживачів писати відгуки після придбання товарів, розуміючи, що це впливає на онлайн-продаж, а позитивні відгуки можуть забезпечити збільшення обсягу реалізації товарів та послуг. Результати щорічного опитування більше ніж 11 000 покупців в 11 країнах світу на чотирьох континентах, проведеного у 2014 р. компанією PwC, показали певні відмінності у поведінці онлайн-покупців. Зокрема, якщо у Китаї 70% респондентів робили покупки онлайн принаймні один раз на тиждень, то у США та Великобританії цей показник становив 40%, Нідерлан-</w:t>
      </w:r>
    </w:p>
    <w:p w:rsidR="00DB5D17" w:rsidRPr="00492264" w:rsidRDefault="00DB5D17" w:rsidP="00DB5D17">
      <w:pPr>
        <w:contextualSpacing/>
        <w:jc w:val="both"/>
        <w:rPr>
          <w:sz w:val="20"/>
          <w:szCs w:val="20"/>
        </w:rPr>
      </w:pPr>
      <w:r w:rsidRPr="00492264">
        <w:rPr>
          <w:sz w:val="20"/>
          <w:szCs w:val="20"/>
        </w:rPr>
        <w:t xml:space="preserve">дах, Франції та Швейцарії – близько 20% [5]. </w:t>
      </w:r>
    </w:p>
    <w:p w:rsidR="00DB5D17" w:rsidRPr="00492264" w:rsidRDefault="00DB5D17" w:rsidP="00DB5D17">
      <w:pPr>
        <w:ind w:firstLine="709"/>
        <w:contextualSpacing/>
        <w:jc w:val="both"/>
        <w:rPr>
          <w:sz w:val="20"/>
          <w:szCs w:val="20"/>
        </w:rPr>
      </w:pPr>
      <w:r w:rsidRPr="00492264">
        <w:rPr>
          <w:sz w:val="20"/>
          <w:szCs w:val="20"/>
        </w:rPr>
        <w:t>За даними соціологічних опитувань, найбільша частка інтернет-покупок  у світі припадає на покупку DVD/CD дисків – вище 23%, а також на онлайн-читання книг − 22,6% див. Рис. 4.).</w:t>
      </w:r>
    </w:p>
    <w:p w:rsidR="00DB5D17" w:rsidRPr="00492264" w:rsidRDefault="00DB5D17" w:rsidP="00DB5D17">
      <w:pPr>
        <w:ind w:firstLine="709"/>
        <w:contextualSpacing/>
        <w:jc w:val="both"/>
        <w:rPr>
          <w:sz w:val="20"/>
          <w:szCs w:val="20"/>
        </w:rPr>
      </w:pPr>
      <w:r w:rsidRPr="00492264">
        <w:rPr>
          <w:sz w:val="20"/>
          <w:szCs w:val="20"/>
        </w:rPr>
        <w:t>Як відомо, одяг та взуття належать до специфічних товарних категорій, придбання яких в Інтернет-магазинах має високий ступінь ризику у підборі необхідного розміру. На розвинених ринках, таких як Японія та Німеччина, онлайн-роздрібні торговці намагаються нівелювати цей недолік і пропонують приміряти одяг на віртуальних моделях, роздивлятися їх з усіх кутів, а також забезпечують своєчасну доставку та повернення або за невелику плату, або безкоштовно.</w:t>
      </w:r>
    </w:p>
    <w:p w:rsidR="00DB5D17" w:rsidRPr="00492264" w:rsidRDefault="00DB5D17" w:rsidP="00DB5D17">
      <w:pPr>
        <w:ind w:firstLine="709"/>
        <w:contextualSpacing/>
        <w:jc w:val="both"/>
        <w:rPr>
          <w:sz w:val="20"/>
          <w:szCs w:val="20"/>
        </w:rPr>
      </w:pPr>
      <w:r w:rsidRPr="00492264">
        <w:rPr>
          <w:sz w:val="20"/>
          <w:szCs w:val="20"/>
        </w:rPr>
        <w:t>За допомогою Індексу глобальної роздрібної Інтернет-торгівлі (GRECI) відповідні ринки 30 країн світу поділено на три групи [4]:</w:t>
      </w:r>
    </w:p>
    <w:p w:rsidR="00DB5D17" w:rsidRPr="00492264" w:rsidRDefault="00DB5D17" w:rsidP="00DB5D17">
      <w:pPr>
        <w:ind w:firstLine="709"/>
        <w:contextualSpacing/>
        <w:jc w:val="both"/>
        <w:rPr>
          <w:sz w:val="20"/>
          <w:szCs w:val="20"/>
        </w:rPr>
      </w:pPr>
      <w:r w:rsidRPr="00492264">
        <w:rPr>
          <w:sz w:val="20"/>
          <w:szCs w:val="20"/>
        </w:rPr>
        <w:t>– ринки, які сформовані і продовжують зростати (Канада, США, Швеція, Бельгія, Великобританія, Швейцарія, Фінляндія, Норвегія, Франція, Німеччина, Австралія, Нідерланди, Франція, Данія);</w:t>
      </w:r>
    </w:p>
    <w:p w:rsidR="00DB5D17" w:rsidRPr="00492264" w:rsidRDefault="00DB5D17" w:rsidP="00DB5D17">
      <w:pPr>
        <w:ind w:firstLine="709"/>
        <w:contextualSpacing/>
        <w:jc w:val="both"/>
        <w:rPr>
          <w:sz w:val="20"/>
          <w:szCs w:val="20"/>
        </w:rPr>
      </w:pPr>
      <w:r w:rsidRPr="00492264">
        <w:rPr>
          <w:sz w:val="20"/>
          <w:szCs w:val="20"/>
        </w:rPr>
        <w:t>–  так звані «цифрові» ринки (Японія, Південна Корея, Гонконг, Нова Зеландія, Сінгапур);</w:t>
      </w:r>
    </w:p>
    <w:p w:rsidR="00DB5D17" w:rsidRPr="00492264" w:rsidRDefault="00DB5D17" w:rsidP="00DB5D17">
      <w:pPr>
        <w:ind w:firstLine="709"/>
        <w:contextualSpacing/>
        <w:jc w:val="both"/>
        <w:rPr>
          <w:sz w:val="20"/>
          <w:szCs w:val="20"/>
        </w:rPr>
      </w:pPr>
      <w:r w:rsidRPr="00492264">
        <w:rPr>
          <w:sz w:val="20"/>
          <w:szCs w:val="20"/>
        </w:rPr>
        <w:t>–  ринки наступного покоління (Китай, Туреччина, Бразилія, Аргентина, Венесуела, Італія, Росія, Ірландія, Чилі, Малайзія, Об’єднані Арабські Емірати, Словаччина).</w:t>
      </w:r>
    </w:p>
    <w:p w:rsidR="00DB5D17" w:rsidRPr="00492264" w:rsidRDefault="00DB5D17" w:rsidP="00DB5D17">
      <w:pPr>
        <w:contextualSpacing/>
        <w:jc w:val="center"/>
        <w:rPr>
          <w:sz w:val="20"/>
          <w:szCs w:val="20"/>
        </w:rPr>
      </w:pPr>
      <w:r w:rsidRPr="00492264">
        <w:rPr>
          <w:noProof/>
          <w:sz w:val="20"/>
          <w:szCs w:val="20"/>
        </w:rPr>
        <w:drawing>
          <wp:inline distT="0" distB="0" distL="0" distR="0" wp14:anchorId="6226217F" wp14:editId="6BDFF467">
            <wp:extent cx="6113078" cy="2187245"/>
            <wp:effectExtent l="19050" t="19050" r="21590" b="2286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6124575" cy="2191359"/>
                    </a:xfrm>
                    <a:prstGeom prst="rect">
                      <a:avLst/>
                    </a:prstGeom>
                    <a:noFill/>
                    <a:ln w="19050" cmpd="sng">
                      <a:solidFill>
                        <a:srgbClr val="000000"/>
                      </a:solidFill>
                      <a:miter lim="800000"/>
                      <a:headEnd/>
                      <a:tailEnd/>
                    </a:ln>
                    <a:effectLst/>
                  </pic:spPr>
                </pic:pic>
              </a:graphicData>
            </a:graphic>
          </wp:inline>
        </w:drawing>
      </w:r>
      <w:r w:rsidRPr="00492264">
        <w:rPr>
          <w:sz w:val="20"/>
          <w:szCs w:val="20"/>
        </w:rPr>
        <w:tab/>
      </w:r>
      <w:r w:rsidRPr="00492264">
        <w:rPr>
          <w:b/>
          <w:sz w:val="20"/>
          <w:szCs w:val="20"/>
        </w:rPr>
        <w:t>Рис. 4. Товарна структура інтернет-покупок у світі, (%).</w:t>
      </w:r>
      <w:bookmarkStart w:id="19" w:name="OLE_LINK18"/>
      <w:bookmarkStart w:id="20" w:name="OLE_LINK19"/>
    </w:p>
    <w:p w:rsidR="00DB5D17" w:rsidRPr="0023098F" w:rsidRDefault="00DB5D17" w:rsidP="00DB5D17">
      <w:pPr>
        <w:contextualSpacing/>
        <w:rPr>
          <w:i/>
          <w:sz w:val="20"/>
          <w:szCs w:val="20"/>
        </w:rPr>
      </w:pPr>
      <w:r w:rsidRPr="0023098F">
        <w:rPr>
          <w:i/>
          <w:sz w:val="20"/>
          <w:szCs w:val="20"/>
        </w:rPr>
        <w:t xml:space="preserve">Примітка. Побудовано автором за даними </w:t>
      </w:r>
      <w:bookmarkEnd w:id="19"/>
      <w:bookmarkEnd w:id="20"/>
      <w:r w:rsidRPr="0023098F">
        <w:rPr>
          <w:i/>
          <w:sz w:val="20"/>
          <w:szCs w:val="20"/>
        </w:rPr>
        <w:t>Centre for Retail Research.</w:t>
      </w:r>
    </w:p>
    <w:p w:rsidR="00DB5D17" w:rsidRPr="00492264" w:rsidRDefault="00DB5D17" w:rsidP="00DB5D17">
      <w:pPr>
        <w:contextualSpacing/>
        <w:jc w:val="both"/>
        <w:rPr>
          <w:sz w:val="20"/>
          <w:szCs w:val="20"/>
        </w:rPr>
      </w:pPr>
    </w:p>
    <w:p w:rsidR="00DB5D17" w:rsidRPr="00492264" w:rsidRDefault="00DB5D17" w:rsidP="00DB5D17">
      <w:pPr>
        <w:ind w:firstLine="709"/>
        <w:contextualSpacing/>
        <w:jc w:val="both"/>
        <w:rPr>
          <w:sz w:val="20"/>
          <w:szCs w:val="20"/>
        </w:rPr>
      </w:pPr>
      <w:bookmarkStart w:id="21" w:name="OLE_LINK220"/>
      <w:bookmarkStart w:id="22" w:name="OLE_LINK221"/>
      <w:r w:rsidRPr="00492264">
        <w:rPr>
          <w:sz w:val="20"/>
          <w:szCs w:val="20"/>
        </w:rPr>
        <w:t>Характеристики першої групи ринків закладені в її назві. Це країни, ринки Інтернет-торгівлі в яких у своєму розвитку перебувають на проміжній стадії між етапами зростання та зрілості. Рівень покриття мережею Інтернет становить 80% і більше, частка користувачів мережею Інтернет, які здійснюють покупки онлайн, перевищує 60% [4].</w:t>
      </w:r>
    </w:p>
    <w:p w:rsidR="00DB5D17" w:rsidRPr="00492264" w:rsidRDefault="00DB5D17" w:rsidP="00DB5D17">
      <w:pPr>
        <w:ind w:firstLine="709"/>
        <w:contextualSpacing/>
        <w:jc w:val="both"/>
        <w:rPr>
          <w:sz w:val="20"/>
          <w:szCs w:val="20"/>
        </w:rPr>
      </w:pPr>
      <w:r w:rsidRPr="00492264">
        <w:rPr>
          <w:sz w:val="20"/>
          <w:szCs w:val="20"/>
        </w:rPr>
        <w:t>Серед особливостей даної групи слід відзначити різницю у перспективах подальшого зростання ринку Інтернет-торгівлі між країнами.</w:t>
      </w:r>
    </w:p>
    <w:p w:rsidR="00DB5D17" w:rsidRPr="00492264" w:rsidRDefault="00DB5D17" w:rsidP="00DB5D17">
      <w:pPr>
        <w:ind w:firstLine="709"/>
        <w:contextualSpacing/>
        <w:jc w:val="both"/>
        <w:rPr>
          <w:sz w:val="20"/>
          <w:szCs w:val="20"/>
        </w:rPr>
      </w:pPr>
      <w:r w:rsidRPr="00492264">
        <w:rPr>
          <w:sz w:val="20"/>
          <w:szCs w:val="20"/>
        </w:rPr>
        <w:t>Такі країни, як Австралія, Канада, США, де частка онлайн-покупців становить 60-70% від інтернет-користувачів, мають більше перспектив зростання, на відміну від країн Північної та Західної Європи, де даний показник є вищим (70-80%). Успіх на таких ринках буде залежати від впровадження інновацій роздрібними торговцями, покращення розуміння ними мотивів поведінки покупців в інтернет-середовищі, забезпечення швидкої та своєчасної доставки замовлених позицій, а також отримання задоволення споживачами після придбання і використання товарів.</w:t>
      </w:r>
    </w:p>
    <w:p w:rsidR="00DB5D17" w:rsidRPr="00492264" w:rsidRDefault="00DB5D17" w:rsidP="00DB5D17">
      <w:pPr>
        <w:ind w:firstLine="709"/>
        <w:contextualSpacing/>
        <w:jc w:val="both"/>
        <w:rPr>
          <w:sz w:val="20"/>
          <w:szCs w:val="20"/>
        </w:rPr>
      </w:pPr>
      <w:r w:rsidRPr="00492264">
        <w:rPr>
          <w:sz w:val="20"/>
          <w:szCs w:val="20"/>
        </w:rPr>
        <w:t>Споживачі Великобританії мають певний досвід придбання товарів онлайн, і з часом їх потреби змінилися. Якщо у минулому онлайн-покупці досліджували товари у мережі Інтернет, знаходили кращі цінові пропозиції і купували товари, які було важко знайти у стаціонарній роздрібній торговельній мережі, то сьогодні більш нагальною є потреба в отриманні детальної інформації про товари, оглядах, безкоштовній доставці та безпроблемному поверненні замовлених товарів.</w:t>
      </w:r>
    </w:p>
    <w:p w:rsidR="00DB5D17" w:rsidRPr="00492264" w:rsidRDefault="00DB5D17" w:rsidP="00DB5D17">
      <w:pPr>
        <w:ind w:firstLine="709"/>
        <w:contextualSpacing/>
        <w:jc w:val="both"/>
        <w:rPr>
          <w:sz w:val="20"/>
          <w:szCs w:val="20"/>
        </w:rPr>
      </w:pPr>
      <w:r w:rsidRPr="00492264">
        <w:rPr>
          <w:sz w:val="20"/>
          <w:szCs w:val="20"/>
        </w:rPr>
        <w:t>Середньостатистичний     споживач     у     Німеччині проводить півтори години на день у мережі Інтернет та робить онлайн-покупки через нижчі ціни та широкий асортимент. Популярними є портали цінового порівняння, такі як Idealo та Preisvergleich для пошуку останніх пропозицій. Споживачі у Німеччині також цінують думку своїх друзів – 43% читають коментарі та відгуки про придбані товари у соціальних мережах.</w:t>
      </w:r>
    </w:p>
    <w:p w:rsidR="00DB5D17" w:rsidRPr="00492264" w:rsidRDefault="00DB5D17" w:rsidP="00DB5D17">
      <w:pPr>
        <w:ind w:firstLine="709"/>
        <w:contextualSpacing/>
        <w:jc w:val="both"/>
        <w:rPr>
          <w:sz w:val="20"/>
          <w:szCs w:val="20"/>
        </w:rPr>
      </w:pPr>
      <w:r w:rsidRPr="00492264">
        <w:rPr>
          <w:sz w:val="20"/>
          <w:szCs w:val="20"/>
        </w:rPr>
        <w:lastRenderedPageBreak/>
        <w:t>Ринки Інтернет-торгівлі країн другої групи відповідно до класифікації за GRECI є високотехнологічними та конкурентними, у своєму розвитку наближаються до етапу зрілості, а тому характеризуються інтенсифікацією зусиль суб’єктів торговельного підприємництва в утриманні своїх позицій.</w:t>
      </w:r>
    </w:p>
    <w:p w:rsidR="00DB5D17" w:rsidRPr="00492264" w:rsidRDefault="00DB5D17" w:rsidP="00DB5D17">
      <w:pPr>
        <w:ind w:firstLine="709"/>
        <w:contextualSpacing/>
        <w:jc w:val="both"/>
        <w:rPr>
          <w:sz w:val="20"/>
          <w:szCs w:val="20"/>
        </w:rPr>
      </w:pPr>
      <w:r w:rsidRPr="00492264">
        <w:rPr>
          <w:sz w:val="20"/>
          <w:szCs w:val="20"/>
        </w:rPr>
        <w:t xml:space="preserve">Третю групу відповідно до Індексу глобальної роздрібної Інтернет-торгівлі складають ринки наступного покоління. Вони представлені переважно у країнах, що розвиваються, мають високий потенціал подальшого зростання за рахунок великої чисельності населення та поступового збільшення користувачів мережею Інтернет, а також підвищення рівня технологічного розвитку. Ці країни, як правило, є великими за розміром, але мають найнижчий рівень проникнення мережі Інтернет. Не менше 40% споживачів роблять онлайн-покупки. Ці ринки також мають активних користувачів мобільними телефонами. </w:t>
      </w:r>
    </w:p>
    <w:p w:rsidR="00DB5D17" w:rsidRPr="00492264" w:rsidRDefault="00DB5D17" w:rsidP="00DB5D17">
      <w:pPr>
        <w:ind w:firstLine="709"/>
        <w:contextualSpacing/>
        <w:jc w:val="both"/>
        <w:rPr>
          <w:sz w:val="20"/>
          <w:szCs w:val="20"/>
        </w:rPr>
      </w:pPr>
      <w:r w:rsidRPr="00492264">
        <w:rPr>
          <w:sz w:val="20"/>
          <w:szCs w:val="20"/>
        </w:rPr>
        <w:t>Китай займає провідні позиції серед країн світу за чисельністю населення, кількістю Інтернет-користувачів, покупців товарів та послуг у мережі Інтернет.</w:t>
      </w:r>
    </w:p>
    <w:p w:rsidR="00DB5D17" w:rsidRPr="00492264" w:rsidRDefault="00DB5D17" w:rsidP="00DB5D17">
      <w:pPr>
        <w:ind w:firstLine="709"/>
        <w:contextualSpacing/>
        <w:jc w:val="both"/>
        <w:rPr>
          <w:sz w:val="20"/>
          <w:szCs w:val="20"/>
        </w:rPr>
      </w:pPr>
      <w:r w:rsidRPr="00492264">
        <w:rPr>
          <w:sz w:val="20"/>
          <w:szCs w:val="20"/>
        </w:rPr>
        <w:t>Нижчі ціни, широкий асортимент, активна реклама сприяють тому, що споживачі надають перевагу онлайн-покупкам. Значний вплив на поведінку покупців здійснюють соціальні мережі. Так, більше 80% споживачів Китаю використовують соціальні мережі для ознайомлення з товаром перед тим, як його придбати, та 66% пишуть відгуки про товар після його придбання.</w:t>
      </w:r>
    </w:p>
    <w:p w:rsidR="00DB5D17" w:rsidRPr="00492264" w:rsidRDefault="00DB5D17" w:rsidP="00DB5D17">
      <w:pPr>
        <w:ind w:firstLine="709"/>
        <w:contextualSpacing/>
        <w:jc w:val="both"/>
        <w:rPr>
          <w:sz w:val="20"/>
          <w:szCs w:val="20"/>
        </w:rPr>
      </w:pPr>
      <w:r w:rsidRPr="00492264">
        <w:rPr>
          <w:sz w:val="20"/>
          <w:szCs w:val="20"/>
        </w:rPr>
        <w:t>Ринком наступного покоління є також ринок Інтернет-торгівлі другої за чисельністю країни світу – Індії. Зростання проникнення мережі Інтернет залишається ключовим фактором збільшення потенціалу ринку онлайн- роздрібної торгівлі Індії. Тільки 1 з 10 індіанців є користувачем мережі Інтернет. Використання мобільних телефонів може збільшити це зростання, оскільки більш 900 млн. осіб мають мобільні телефони, але тільки 10% з них – це смартфони.</w:t>
      </w:r>
    </w:p>
    <w:p w:rsidR="00DB5D17" w:rsidRPr="00492264" w:rsidRDefault="00DB5D17" w:rsidP="00DB5D17">
      <w:pPr>
        <w:ind w:firstLine="709"/>
        <w:contextualSpacing/>
        <w:jc w:val="both"/>
        <w:rPr>
          <w:sz w:val="20"/>
          <w:szCs w:val="20"/>
        </w:rPr>
      </w:pPr>
      <w:r w:rsidRPr="00492264">
        <w:rPr>
          <w:sz w:val="20"/>
          <w:szCs w:val="20"/>
        </w:rPr>
        <w:t xml:space="preserve">Подивимося також на те, як у світі зростає частка Інтернет-торгівлі в загальному роздробі. Як видно з рис.5, частка Інтернет-торгівлі стабільно зростає. Виходячи з прогнозу від </w:t>
      </w:r>
      <w:bookmarkStart w:id="23" w:name="OLE_LINK20"/>
      <w:bookmarkStart w:id="24" w:name="OLE_LINK21"/>
      <w:r w:rsidRPr="00492264">
        <w:rPr>
          <w:sz w:val="20"/>
          <w:szCs w:val="20"/>
        </w:rPr>
        <w:t>DigitalGuru</w:t>
      </w:r>
      <w:bookmarkEnd w:id="23"/>
      <w:bookmarkEnd w:id="24"/>
      <w:r w:rsidRPr="00492264">
        <w:rPr>
          <w:sz w:val="20"/>
          <w:szCs w:val="20"/>
        </w:rPr>
        <w:t>, такий тренд буде тривати і далі.</w:t>
      </w:r>
    </w:p>
    <w:bookmarkEnd w:id="21"/>
    <w:bookmarkEnd w:id="22"/>
    <w:p w:rsidR="00DB5D17" w:rsidRPr="00492264" w:rsidRDefault="00DB5D17" w:rsidP="00DB5D17">
      <w:pPr>
        <w:ind w:firstLine="709"/>
        <w:contextualSpacing/>
        <w:jc w:val="both"/>
        <w:rPr>
          <w:sz w:val="20"/>
          <w:szCs w:val="20"/>
        </w:rPr>
      </w:pPr>
      <w:r w:rsidRPr="00492264">
        <w:rPr>
          <w:sz w:val="20"/>
          <w:szCs w:val="20"/>
        </w:rPr>
        <w:t>Незважаючи на загальну спільну рису – достатньо інтенсивний розвиток протягом останніх років, ринки Інтернет-торгівлі країн світу є неоднорідними за своїми характеристиками щодо обсягу та структури, а також особливостей прояву поведінки споживачів, їх смаків та переваг.</w:t>
      </w:r>
    </w:p>
    <w:p w:rsidR="00DB5D17" w:rsidRPr="00492264" w:rsidRDefault="00DB5D17" w:rsidP="00DB5D17">
      <w:pPr>
        <w:ind w:firstLine="709"/>
        <w:contextualSpacing/>
        <w:jc w:val="both"/>
        <w:rPr>
          <w:sz w:val="20"/>
          <w:szCs w:val="20"/>
        </w:rPr>
      </w:pPr>
      <w:r w:rsidRPr="00492264">
        <w:rPr>
          <w:sz w:val="20"/>
          <w:szCs w:val="20"/>
        </w:rPr>
        <w:t>Дослідження показало, що споживачі як у розвинених країнах, так і тих, що розвиваються, проводять ретельну роботу перш ніж придбати товар онлайн, зокрема вивчають особливості товарів, порівнюють ціни на аналоги, з’ясовують, які умови придбання пропонує роздрібний торговець та який характер має його політика щодо повернення товарів.</w:t>
      </w:r>
    </w:p>
    <w:p w:rsidR="00DB5D17" w:rsidRPr="00492264" w:rsidRDefault="00DB5D17" w:rsidP="00DB5D17">
      <w:pPr>
        <w:contextualSpacing/>
        <w:jc w:val="both"/>
        <w:rPr>
          <w:sz w:val="20"/>
          <w:szCs w:val="20"/>
        </w:rPr>
      </w:pPr>
      <w:r w:rsidRPr="00492264">
        <w:rPr>
          <w:sz w:val="20"/>
          <w:szCs w:val="20"/>
        </w:rPr>
        <w:tab/>
      </w:r>
    </w:p>
    <w:bookmarkStart w:id="25" w:name="OLE_LINK322"/>
    <w:bookmarkStart w:id="26" w:name="OLE_LINK323"/>
    <w:p w:rsidR="00DB5D17" w:rsidRPr="00492264" w:rsidRDefault="00DB5D17" w:rsidP="00DB5D17">
      <w:pPr>
        <w:contextualSpacing/>
        <w:jc w:val="center"/>
        <w:rPr>
          <w:sz w:val="20"/>
          <w:szCs w:val="20"/>
        </w:rPr>
      </w:pPr>
      <w:r w:rsidRPr="00492264">
        <w:rPr>
          <w:sz w:val="20"/>
          <w:szCs w:val="20"/>
        </w:rPr>
        <w:object w:dxaOrig="9540" w:dyaOrig="3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82.25pt" o:ole="" o:bordertopcolor="black" o:borderleftcolor="black" o:borderbottomcolor="black" o:borderrightcolor="black">
            <v:imagedata r:id="rId10" o:title=""/>
            <w10:bordertop type="single" width="12"/>
            <w10:borderleft type="single" width="12"/>
            <w10:borderbottom type="single" width="12"/>
            <w10:borderright type="single" width="12"/>
          </v:shape>
          <o:OLEObject Type="Embed" ProgID="MSGraph.Chart.8" ShapeID="_x0000_i1025" DrawAspect="Content" ObjectID="_1517692678" r:id="rId11">
            <o:FieldCodes>\s</o:FieldCodes>
          </o:OLEObject>
        </w:object>
      </w:r>
      <w:bookmarkEnd w:id="25"/>
      <w:bookmarkEnd w:id="26"/>
      <w:r w:rsidRPr="00492264">
        <w:rPr>
          <w:sz w:val="20"/>
          <w:szCs w:val="20"/>
        </w:rPr>
        <w:tab/>
      </w:r>
      <w:r w:rsidRPr="00492264">
        <w:rPr>
          <w:b/>
          <w:sz w:val="20"/>
          <w:szCs w:val="20"/>
        </w:rPr>
        <w:t xml:space="preserve">Рис. 5. </w:t>
      </w:r>
      <w:bookmarkStart w:id="27" w:name="OLE_LINK328"/>
      <w:bookmarkStart w:id="28" w:name="OLE_LINK329"/>
      <w:r w:rsidRPr="00492264">
        <w:rPr>
          <w:b/>
          <w:sz w:val="20"/>
          <w:szCs w:val="20"/>
        </w:rPr>
        <w:t>Доля Інтернет-торгівлі у роздрібній торгівлі світу, (%)</w:t>
      </w:r>
      <w:bookmarkEnd w:id="27"/>
      <w:bookmarkEnd w:id="28"/>
      <w:r w:rsidRPr="00492264">
        <w:rPr>
          <w:b/>
          <w:sz w:val="20"/>
          <w:szCs w:val="20"/>
        </w:rPr>
        <w:t>.</w:t>
      </w:r>
    </w:p>
    <w:p w:rsidR="00DB5D17" w:rsidRPr="0023098F" w:rsidRDefault="00DB5D17" w:rsidP="00DB5D17">
      <w:pPr>
        <w:contextualSpacing/>
        <w:jc w:val="both"/>
        <w:outlineLvl w:val="0"/>
        <w:rPr>
          <w:i/>
          <w:sz w:val="20"/>
          <w:szCs w:val="20"/>
        </w:rPr>
      </w:pPr>
      <w:bookmarkStart w:id="29" w:name="OLE_LINK330"/>
      <w:bookmarkStart w:id="30" w:name="OLE_LINK331"/>
      <w:r w:rsidRPr="0023098F">
        <w:rPr>
          <w:i/>
          <w:sz w:val="20"/>
          <w:szCs w:val="20"/>
        </w:rPr>
        <w:t>Примітка. Побудовано автором за даними DigitalGuru.</w:t>
      </w:r>
      <w:bookmarkStart w:id="31" w:name="OLE_LINK307"/>
      <w:bookmarkStart w:id="32" w:name="OLE_LINK308"/>
      <w:bookmarkEnd w:id="29"/>
      <w:bookmarkEnd w:id="30"/>
    </w:p>
    <w:p w:rsidR="00DB5D17" w:rsidRPr="00492264" w:rsidRDefault="00DB5D17" w:rsidP="00DB5D17">
      <w:pPr>
        <w:contextualSpacing/>
        <w:jc w:val="both"/>
        <w:outlineLvl w:val="0"/>
        <w:rPr>
          <w:sz w:val="20"/>
          <w:szCs w:val="20"/>
        </w:rPr>
      </w:pPr>
    </w:p>
    <w:p w:rsidR="00DB5D17" w:rsidRPr="00492264" w:rsidRDefault="00DB5D17" w:rsidP="00DB5D17">
      <w:pPr>
        <w:contextualSpacing/>
        <w:jc w:val="both"/>
        <w:outlineLvl w:val="0"/>
        <w:rPr>
          <w:sz w:val="20"/>
          <w:szCs w:val="20"/>
        </w:rPr>
      </w:pPr>
      <w:r w:rsidRPr="00492264">
        <w:rPr>
          <w:sz w:val="20"/>
          <w:szCs w:val="20"/>
        </w:rPr>
        <w:tab/>
        <w:t>Інтернет-економіка України представлена галузями комп’ютерної техніки і комунікаціями, рекламою і медіа-індустрією, інтернет-послугами, електронною комерцією. За останні два роки зростання українського сегмента Інтернет (UAnet) спостерігається у всіх напрямках.</w:t>
      </w:r>
    </w:p>
    <w:p w:rsidR="00DB5D17" w:rsidRPr="00492264" w:rsidRDefault="00DB5D17" w:rsidP="00DB5D17">
      <w:pPr>
        <w:ind w:firstLine="709"/>
        <w:contextualSpacing/>
        <w:jc w:val="both"/>
        <w:rPr>
          <w:sz w:val="20"/>
          <w:szCs w:val="20"/>
        </w:rPr>
      </w:pPr>
      <w:r w:rsidRPr="00492264">
        <w:rPr>
          <w:sz w:val="20"/>
          <w:szCs w:val="20"/>
        </w:rPr>
        <w:t>Основним бар’єром, який заважає інтернет-аудиторії більш активно купувати товари та послуги онлайн, є недосвідченість у користуванні Мережею і, як наслідок, недовіра. Найбільш активними покупцями є люди, «стаж» спілкування з Мережею яких становить не менше 3-5 років. Щоб інтернет-шопінг став масовим явищем, необхідний час, протягом якого аудиторія звикне до можливостей Інтернету.</w:t>
      </w:r>
      <w:bookmarkEnd w:id="31"/>
      <w:bookmarkEnd w:id="32"/>
    </w:p>
    <w:p w:rsidR="00DB5D17" w:rsidRPr="00492264" w:rsidRDefault="00DB5D17" w:rsidP="00DB5D17">
      <w:pPr>
        <w:ind w:firstLine="709"/>
        <w:contextualSpacing/>
        <w:jc w:val="both"/>
        <w:rPr>
          <w:sz w:val="20"/>
          <w:szCs w:val="20"/>
        </w:rPr>
      </w:pPr>
      <w:r w:rsidRPr="00492264">
        <w:rPr>
          <w:b/>
          <w:sz w:val="20"/>
          <w:szCs w:val="20"/>
        </w:rPr>
        <w:t>Висновки.</w:t>
      </w:r>
      <w:r w:rsidRPr="00492264">
        <w:rPr>
          <w:i/>
          <w:sz w:val="20"/>
          <w:szCs w:val="20"/>
        </w:rPr>
        <w:t xml:space="preserve"> </w:t>
      </w:r>
      <w:r w:rsidRPr="00492264">
        <w:rPr>
          <w:sz w:val="20"/>
          <w:szCs w:val="20"/>
        </w:rPr>
        <w:t>Інтернет, як один з найважливіших факторів глобалізації, визначає характерні риси розвитку останньої. Якщо раніше в розвинених клієнтоорієнтованих економіках в умовах жорсткої конкуренції перемагав той, хто краще і повніше задовольняв потреби споживачів, то сьогодні до цих двох ключових параметрах додалася швидкість в усьому різноманітті її визначень. Це і здатність показати свою рекламу швидше і на більш помітному місці, ніж конкуренти, швидше відповісти на запит клієнта, швидше прийняти і обробити замовлення, швидше доставити. Якщо користувач йде в Інтернет щось шукати, він витрачає на пошук час і деколи дуже істотне</w:t>
      </w:r>
      <w:r w:rsidRPr="00492264">
        <w:rPr>
          <w:i/>
          <w:sz w:val="20"/>
          <w:szCs w:val="20"/>
        </w:rPr>
        <w:t xml:space="preserve">. </w:t>
      </w:r>
      <w:r w:rsidRPr="00492264">
        <w:rPr>
          <w:sz w:val="20"/>
          <w:szCs w:val="20"/>
        </w:rPr>
        <w:t xml:space="preserve">На сьогоднішній день Інтернет-торгівля вже невід’ємним процесом світової торгівлі загалом. Зараз Інтренет-торгівля демонструє високі темпи зростання, визначаючи при цьому перспективи та динаміку структури світової торгівлі. </w:t>
      </w:r>
    </w:p>
    <w:p w:rsidR="00DB5D17" w:rsidRPr="00492264" w:rsidRDefault="00DB5D17" w:rsidP="00DB5D17">
      <w:pPr>
        <w:ind w:firstLine="709"/>
        <w:contextualSpacing/>
        <w:jc w:val="both"/>
        <w:rPr>
          <w:sz w:val="20"/>
          <w:szCs w:val="20"/>
        </w:rPr>
      </w:pPr>
      <w:r w:rsidRPr="00492264">
        <w:rPr>
          <w:sz w:val="20"/>
          <w:szCs w:val="20"/>
        </w:rPr>
        <w:t xml:space="preserve">Сьогодні багато компаній в т.ч. мають реальні виробничі потужності, а не просто посередники роблять основну ставку в розвитку бізнесу на продажі через Інтернет з наступних причин: Порівняно недорога реклама і невисока вартість залучення потенційного покупця. Швидкий вихід на цільову аудиторію; Відсутність географічних обмежень, можливість здійснювати діяльність не тільки в «домашньому» регіоні, а й за рамками нього, в т.ч. в інших державах; Можливість </w:t>
      </w:r>
      <w:r w:rsidRPr="00492264">
        <w:rPr>
          <w:sz w:val="20"/>
          <w:szCs w:val="20"/>
        </w:rPr>
        <w:lastRenderedPageBreak/>
        <w:t>представити весь асортимент продукції з детальним описом та ілюстраціями. Як наслідок підвищення конверсії; У більшості випадків порівняно невеликі витрати, пов'язані з входом на ринок і виходом з нього.</w:t>
      </w:r>
    </w:p>
    <w:p w:rsidR="00DB5D17" w:rsidRPr="00492264" w:rsidRDefault="00DB5D17" w:rsidP="00DB5D17">
      <w:pPr>
        <w:ind w:firstLine="709"/>
        <w:contextualSpacing/>
        <w:jc w:val="center"/>
        <w:rPr>
          <w:b/>
          <w:i/>
          <w:sz w:val="20"/>
          <w:szCs w:val="20"/>
        </w:rPr>
      </w:pPr>
      <w:r w:rsidRPr="00492264">
        <w:rPr>
          <w:b/>
          <w:i/>
          <w:sz w:val="20"/>
          <w:szCs w:val="20"/>
        </w:rPr>
        <w:t>Список використаних джерел</w:t>
      </w:r>
    </w:p>
    <w:p w:rsidR="00DB5D17" w:rsidRPr="00492264" w:rsidRDefault="00DB5D17" w:rsidP="00DB5D17">
      <w:pPr>
        <w:ind w:firstLine="284"/>
        <w:contextualSpacing/>
        <w:jc w:val="both"/>
        <w:rPr>
          <w:color w:val="000000"/>
          <w:sz w:val="20"/>
          <w:szCs w:val="20"/>
          <w:shd w:val="clear" w:color="auto" w:fill="FFFFFF"/>
        </w:rPr>
      </w:pPr>
      <w:r w:rsidRPr="00492264">
        <w:rPr>
          <w:color w:val="000000"/>
          <w:sz w:val="20"/>
          <w:szCs w:val="20"/>
        </w:rPr>
        <w:t xml:space="preserve">1. </w:t>
      </w:r>
      <w:r w:rsidRPr="00492264">
        <w:rPr>
          <w:color w:val="000000"/>
          <w:sz w:val="20"/>
          <w:szCs w:val="20"/>
          <w:shd w:val="clear" w:color="auto" w:fill="FFFFFF"/>
        </w:rPr>
        <w:t>Саммер.</w:t>
      </w:r>
      <w:r w:rsidRPr="00492264">
        <w:rPr>
          <w:rStyle w:val="apple-converted-space"/>
          <w:color w:val="000000"/>
          <w:shd w:val="clear" w:color="auto" w:fill="FFFFFF"/>
        </w:rPr>
        <w:t> </w:t>
      </w:r>
      <w:r w:rsidRPr="00492264">
        <w:rPr>
          <w:color w:val="000000"/>
          <w:sz w:val="20"/>
          <w:szCs w:val="20"/>
          <w:shd w:val="clear" w:color="auto" w:fill="FFFFFF"/>
        </w:rPr>
        <w:t>А. Е-COMMERCE. Электронная коммерция. Маркетинг :</w:t>
      </w:r>
      <w:r w:rsidRPr="00492264">
        <w:rPr>
          <w:rStyle w:val="apple-converted-space"/>
          <w:color w:val="000000"/>
          <w:shd w:val="clear" w:color="auto" w:fill="FFFFFF"/>
        </w:rPr>
        <w:t> </w:t>
      </w:r>
      <w:r w:rsidRPr="00492264">
        <w:rPr>
          <w:color w:val="000000"/>
          <w:sz w:val="20"/>
          <w:szCs w:val="20"/>
          <w:shd w:val="clear" w:color="auto" w:fill="FFFFFF"/>
        </w:rPr>
        <w:t>пятая волна</w:t>
      </w:r>
      <w:r w:rsidRPr="00492264">
        <w:rPr>
          <w:rStyle w:val="apple-converted-space"/>
          <w:color w:val="000000"/>
          <w:shd w:val="clear" w:color="auto" w:fill="FFFFFF"/>
        </w:rPr>
        <w:t>  </w:t>
      </w:r>
      <w:r w:rsidRPr="00492264">
        <w:rPr>
          <w:color w:val="000000"/>
          <w:sz w:val="20"/>
          <w:szCs w:val="20"/>
          <w:shd w:val="clear" w:color="auto" w:fill="FFFFFF"/>
        </w:rPr>
        <w:t>-</w:t>
      </w:r>
      <w:r w:rsidRPr="00492264">
        <w:rPr>
          <w:rStyle w:val="apple-converted-space"/>
          <w:color w:val="000000"/>
          <w:shd w:val="clear" w:color="auto" w:fill="FFFFFF"/>
        </w:rPr>
        <w:t> </w:t>
      </w:r>
      <w:r w:rsidRPr="00492264">
        <w:rPr>
          <w:color w:val="000000"/>
          <w:sz w:val="20"/>
          <w:szCs w:val="20"/>
          <w:shd w:val="clear" w:color="auto" w:fill="FFFFFF"/>
        </w:rPr>
        <w:t>М., 1999. – 123 с.</w:t>
      </w:r>
    </w:p>
    <w:p w:rsidR="00DB5D17" w:rsidRPr="00492264" w:rsidRDefault="00DB5D17" w:rsidP="00DB5D17">
      <w:pPr>
        <w:ind w:firstLine="284"/>
        <w:contextualSpacing/>
        <w:jc w:val="both"/>
        <w:rPr>
          <w:color w:val="000000"/>
          <w:sz w:val="20"/>
          <w:szCs w:val="20"/>
        </w:rPr>
      </w:pPr>
      <w:r w:rsidRPr="00492264">
        <w:rPr>
          <w:color w:val="000000"/>
          <w:sz w:val="20"/>
          <w:szCs w:val="20"/>
          <w:shd w:val="clear" w:color="auto" w:fill="FFFFFF"/>
        </w:rPr>
        <w:t xml:space="preserve">2. </w:t>
      </w:r>
      <w:r w:rsidRPr="00492264">
        <w:rPr>
          <w:color w:val="000000"/>
          <w:sz w:val="20"/>
          <w:szCs w:val="20"/>
        </w:rPr>
        <w:t>Царьов В.В., Електронна комерція. - СПб: 2006. - 320 с.</w:t>
      </w:r>
      <w:r w:rsidRPr="00492264">
        <w:rPr>
          <w:rStyle w:val="apple-converted-space"/>
          <w:color w:val="000000"/>
        </w:rPr>
        <w:t> </w:t>
      </w:r>
    </w:p>
    <w:p w:rsidR="00DB5D17" w:rsidRPr="000C7CC3" w:rsidRDefault="00DB5D17" w:rsidP="00DB5D17">
      <w:pPr>
        <w:ind w:firstLine="284"/>
        <w:contextualSpacing/>
        <w:jc w:val="both"/>
        <w:rPr>
          <w:color w:val="000000"/>
          <w:sz w:val="20"/>
          <w:szCs w:val="20"/>
          <w:lang w:val="en-US"/>
        </w:rPr>
      </w:pPr>
      <w:r w:rsidRPr="000C7CC3">
        <w:rPr>
          <w:color w:val="000000"/>
          <w:sz w:val="20"/>
          <w:szCs w:val="20"/>
          <w:lang w:val="en-US"/>
        </w:rPr>
        <w:t xml:space="preserve">3.  </w:t>
      </w:r>
      <w:r w:rsidRPr="00492264">
        <w:rPr>
          <w:color w:val="000000"/>
          <w:sz w:val="20"/>
          <w:szCs w:val="20"/>
          <w:lang w:val="en-US"/>
        </w:rPr>
        <w:t>Global</w:t>
      </w:r>
      <w:r w:rsidRPr="000C7CC3">
        <w:rPr>
          <w:color w:val="000000"/>
          <w:sz w:val="20"/>
          <w:szCs w:val="20"/>
          <w:lang w:val="en-US"/>
        </w:rPr>
        <w:t xml:space="preserve"> </w:t>
      </w:r>
      <w:r w:rsidRPr="00492264">
        <w:rPr>
          <w:color w:val="000000"/>
          <w:sz w:val="20"/>
          <w:szCs w:val="20"/>
          <w:lang w:val="en-US"/>
        </w:rPr>
        <w:t>perspective</w:t>
      </w:r>
      <w:r w:rsidRPr="000C7CC3">
        <w:rPr>
          <w:color w:val="000000"/>
          <w:sz w:val="20"/>
          <w:szCs w:val="20"/>
          <w:lang w:val="en-US"/>
        </w:rPr>
        <w:t xml:space="preserve"> </w:t>
      </w:r>
      <w:r w:rsidRPr="00492264">
        <w:rPr>
          <w:color w:val="000000"/>
          <w:sz w:val="20"/>
          <w:szCs w:val="20"/>
        </w:rPr>
        <w:t>о</w:t>
      </w:r>
      <w:r w:rsidRPr="00492264">
        <w:rPr>
          <w:color w:val="000000"/>
          <w:sz w:val="20"/>
          <w:szCs w:val="20"/>
          <w:lang w:val="en-US"/>
        </w:rPr>
        <w:t>n</w:t>
      </w:r>
      <w:r w:rsidRPr="000C7CC3">
        <w:rPr>
          <w:color w:val="000000"/>
          <w:sz w:val="20"/>
          <w:szCs w:val="20"/>
          <w:lang w:val="en-US"/>
        </w:rPr>
        <w:t xml:space="preserve"> </w:t>
      </w:r>
      <w:r w:rsidRPr="00492264">
        <w:rPr>
          <w:color w:val="000000"/>
          <w:sz w:val="20"/>
          <w:szCs w:val="20"/>
          <w:lang w:val="en-US"/>
        </w:rPr>
        <w:t>retail</w:t>
      </w:r>
      <w:r w:rsidRPr="000C7CC3">
        <w:rPr>
          <w:color w:val="000000"/>
          <w:sz w:val="20"/>
          <w:szCs w:val="20"/>
          <w:lang w:val="en-US"/>
        </w:rPr>
        <w:t xml:space="preserve">: </w:t>
      </w:r>
      <w:r w:rsidRPr="00492264">
        <w:rPr>
          <w:color w:val="000000"/>
          <w:sz w:val="20"/>
          <w:szCs w:val="20"/>
          <w:lang w:val="en-US"/>
        </w:rPr>
        <w:t>online</w:t>
      </w:r>
      <w:r w:rsidRPr="000C7CC3">
        <w:rPr>
          <w:color w:val="000000"/>
          <w:sz w:val="20"/>
          <w:szCs w:val="20"/>
          <w:lang w:val="en-US"/>
        </w:rPr>
        <w:t xml:space="preserve"> </w:t>
      </w:r>
      <w:r w:rsidRPr="00492264">
        <w:rPr>
          <w:color w:val="000000"/>
          <w:sz w:val="20"/>
          <w:szCs w:val="20"/>
          <w:lang w:val="en-US"/>
        </w:rPr>
        <w:t>retailing</w:t>
      </w:r>
      <w:r w:rsidRPr="000C7CC3">
        <w:rPr>
          <w:color w:val="000000"/>
          <w:sz w:val="20"/>
          <w:szCs w:val="20"/>
          <w:lang w:val="en-US"/>
        </w:rPr>
        <w:t xml:space="preserve"> [</w:t>
      </w:r>
      <w:r w:rsidRPr="00492264">
        <w:rPr>
          <w:color w:val="000000"/>
          <w:sz w:val="20"/>
          <w:szCs w:val="20"/>
        </w:rPr>
        <w:t>Електронний</w:t>
      </w:r>
      <w:r w:rsidRPr="000C7CC3">
        <w:rPr>
          <w:color w:val="000000"/>
          <w:sz w:val="20"/>
          <w:szCs w:val="20"/>
          <w:lang w:val="en-US"/>
        </w:rPr>
        <w:t xml:space="preserve"> </w:t>
      </w:r>
      <w:r w:rsidRPr="00492264">
        <w:rPr>
          <w:color w:val="000000"/>
          <w:sz w:val="20"/>
          <w:szCs w:val="20"/>
        </w:rPr>
        <w:t>ресурс</w:t>
      </w:r>
      <w:r w:rsidRPr="000C7CC3">
        <w:rPr>
          <w:color w:val="000000"/>
          <w:sz w:val="20"/>
          <w:szCs w:val="20"/>
          <w:lang w:val="en-US"/>
        </w:rPr>
        <w:t xml:space="preserve">]. – </w:t>
      </w:r>
      <w:r w:rsidRPr="00492264">
        <w:rPr>
          <w:color w:val="000000"/>
          <w:sz w:val="20"/>
          <w:szCs w:val="20"/>
        </w:rPr>
        <w:t>Режим</w:t>
      </w:r>
      <w:r w:rsidRPr="000C7CC3">
        <w:rPr>
          <w:color w:val="000000"/>
          <w:sz w:val="20"/>
          <w:szCs w:val="20"/>
          <w:lang w:val="en-US"/>
        </w:rPr>
        <w:t xml:space="preserve"> </w:t>
      </w:r>
      <w:r w:rsidRPr="00492264">
        <w:rPr>
          <w:color w:val="000000"/>
          <w:sz w:val="20"/>
          <w:szCs w:val="20"/>
        </w:rPr>
        <w:t>доступу</w:t>
      </w:r>
      <w:r w:rsidRPr="000C7CC3">
        <w:rPr>
          <w:color w:val="000000"/>
          <w:sz w:val="20"/>
          <w:szCs w:val="20"/>
          <w:lang w:val="en-US"/>
        </w:rPr>
        <w:t xml:space="preserve"> : </w:t>
      </w:r>
      <w:hyperlink r:id="rId12" w:history="1">
        <w:r w:rsidRPr="00492264">
          <w:rPr>
            <w:rStyle w:val="a5"/>
            <w:color w:val="000000"/>
            <w:sz w:val="20"/>
            <w:szCs w:val="20"/>
            <w:lang w:val="en-US"/>
          </w:rPr>
          <w:t>http</w:t>
        </w:r>
        <w:r w:rsidRPr="000C7CC3">
          <w:rPr>
            <w:rStyle w:val="a5"/>
            <w:color w:val="000000"/>
            <w:sz w:val="20"/>
            <w:szCs w:val="20"/>
            <w:lang w:val="en-US"/>
          </w:rPr>
          <w:t>://www</w:t>
        </w:r>
      </w:hyperlink>
      <w:r w:rsidRPr="000C7CC3">
        <w:rPr>
          <w:color w:val="000000"/>
          <w:sz w:val="20"/>
          <w:szCs w:val="20"/>
          <w:lang w:val="en-US"/>
        </w:rPr>
        <w:t xml:space="preserve">. </w:t>
      </w:r>
      <w:r w:rsidRPr="00492264">
        <w:rPr>
          <w:color w:val="000000"/>
          <w:sz w:val="20"/>
          <w:szCs w:val="20"/>
          <w:lang w:val="en-US"/>
        </w:rPr>
        <w:t>annualreview</w:t>
      </w:r>
      <w:r w:rsidRPr="000C7CC3">
        <w:rPr>
          <w:color w:val="000000"/>
          <w:sz w:val="20"/>
          <w:szCs w:val="20"/>
          <w:lang w:val="en-US"/>
        </w:rPr>
        <w:t>.</w:t>
      </w:r>
      <w:r w:rsidRPr="00492264">
        <w:rPr>
          <w:color w:val="000000"/>
          <w:sz w:val="20"/>
          <w:szCs w:val="20"/>
          <w:lang w:val="en-US"/>
        </w:rPr>
        <w:t>cushwake</w:t>
      </w:r>
      <w:r w:rsidRPr="000C7CC3">
        <w:rPr>
          <w:color w:val="000000"/>
          <w:sz w:val="20"/>
          <w:szCs w:val="20"/>
          <w:lang w:val="en-US"/>
        </w:rPr>
        <w:t>.</w:t>
      </w:r>
      <w:r w:rsidRPr="00492264">
        <w:rPr>
          <w:color w:val="000000"/>
          <w:sz w:val="20"/>
          <w:szCs w:val="20"/>
          <w:lang w:val="en-US"/>
        </w:rPr>
        <w:t>com</w:t>
      </w:r>
      <w:r w:rsidRPr="000C7CC3">
        <w:rPr>
          <w:color w:val="000000"/>
          <w:sz w:val="20"/>
          <w:szCs w:val="20"/>
          <w:lang w:val="en-US"/>
        </w:rPr>
        <w:t>/</w:t>
      </w:r>
    </w:p>
    <w:p w:rsidR="00DB5D17" w:rsidRPr="000C7CC3" w:rsidRDefault="00DB5D17" w:rsidP="00DB5D17">
      <w:pPr>
        <w:ind w:firstLine="284"/>
        <w:contextualSpacing/>
        <w:jc w:val="both"/>
        <w:rPr>
          <w:color w:val="000000"/>
          <w:sz w:val="20"/>
          <w:szCs w:val="20"/>
          <w:lang w:val="en-US"/>
        </w:rPr>
      </w:pPr>
      <w:r w:rsidRPr="00492264">
        <w:rPr>
          <w:color w:val="000000"/>
          <w:sz w:val="20"/>
          <w:szCs w:val="20"/>
          <w:lang w:val="en-US"/>
        </w:rPr>
        <w:t>4. Online Retail is Front and Center in the Quest for Growth [</w:t>
      </w:r>
      <w:r w:rsidRPr="00492264">
        <w:rPr>
          <w:color w:val="000000"/>
          <w:sz w:val="20"/>
          <w:szCs w:val="20"/>
        </w:rPr>
        <w:t>Електронний</w:t>
      </w:r>
      <w:r w:rsidRPr="00492264">
        <w:rPr>
          <w:color w:val="000000"/>
          <w:sz w:val="20"/>
          <w:szCs w:val="20"/>
          <w:lang w:val="en-US"/>
        </w:rPr>
        <w:t xml:space="preserve"> </w:t>
      </w:r>
      <w:r w:rsidRPr="00492264">
        <w:rPr>
          <w:color w:val="000000"/>
          <w:sz w:val="20"/>
          <w:szCs w:val="20"/>
        </w:rPr>
        <w:t>ресурс</w:t>
      </w:r>
      <w:r w:rsidRPr="00492264">
        <w:rPr>
          <w:color w:val="000000"/>
          <w:sz w:val="20"/>
          <w:szCs w:val="20"/>
          <w:lang w:val="en-US"/>
        </w:rPr>
        <w:t xml:space="preserve">]. – </w:t>
      </w:r>
      <w:r w:rsidRPr="00492264">
        <w:rPr>
          <w:color w:val="000000"/>
          <w:sz w:val="20"/>
          <w:szCs w:val="20"/>
        </w:rPr>
        <w:t>Режим</w:t>
      </w:r>
      <w:r w:rsidRPr="00492264">
        <w:rPr>
          <w:color w:val="000000"/>
          <w:sz w:val="20"/>
          <w:szCs w:val="20"/>
          <w:lang w:val="en-US"/>
        </w:rPr>
        <w:t xml:space="preserve"> </w:t>
      </w:r>
      <w:r w:rsidRPr="00492264">
        <w:rPr>
          <w:color w:val="000000"/>
          <w:sz w:val="20"/>
          <w:szCs w:val="20"/>
        </w:rPr>
        <w:t>доступу</w:t>
      </w:r>
      <w:r w:rsidRPr="00492264">
        <w:rPr>
          <w:color w:val="000000"/>
          <w:sz w:val="20"/>
          <w:szCs w:val="20"/>
          <w:lang w:val="en-US"/>
        </w:rPr>
        <w:t xml:space="preserve"> : </w:t>
      </w:r>
      <w:hyperlink r:id="rId13" w:history="1">
        <w:r w:rsidRPr="00492264">
          <w:rPr>
            <w:rStyle w:val="a5"/>
            <w:color w:val="000000"/>
            <w:sz w:val="20"/>
            <w:szCs w:val="20"/>
            <w:lang w:val="en-US"/>
          </w:rPr>
          <w:t>http://www.atkearney.com</w:t>
        </w:r>
      </w:hyperlink>
    </w:p>
    <w:p w:rsidR="00DB5D17" w:rsidRPr="00492264" w:rsidRDefault="00DB5D17" w:rsidP="00DB5D17">
      <w:pPr>
        <w:ind w:firstLine="284"/>
        <w:contextualSpacing/>
        <w:jc w:val="both"/>
        <w:rPr>
          <w:color w:val="000000"/>
          <w:sz w:val="20"/>
          <w:szCs w:val="20"/>
          <w:lang w:val="en-US"/>
        </w:rPr>
      </w:pPr>
      <w:r w:rsidRPr="00492264">
        <w:rPr>
          <w:color w:val="000000"/>
          <w:sz w:val="20"/>
          <w:szCs w:val="20"/>
          <w:lang w:val="en-US"/>
        </w:rPr>
        <w:t>5. Demystifying the online shopper. 10 myths of multichannel retailing [</w:t>
      </w:r>
      <w:r w:rsidRPr="00492264">
        <w:rPr>
          <w:color w:val="000000"/>
          <w:sz w:val="20"/>
          <w:szCs w:val="20"/>
        </w:rPr>
        <w:t>Електронний</w:t>
      </w:r>
      <w:r w:rsidRPr="00492264">
        <w:rPr>
          <w:color w:val="000000"/>
          <w:sz w:val="20"/>
          <w:szCs w:val="20"/>
          <w:lang w:val="en-US"/>
        </w:rPr>
        <w:t xml:space="preserve"> </w:t>
      </w:r>
      <w:r w:rsidRPr="00492264">
        <w:rPr>
          <w:color w:val="000000"/>
          <w:sz w:val="20"/>
          <w:szCs w:val="20"/>
        </w:rPr>
        <w:t>ресурс</w:t>
      </w:r>
      <w:r w:rsidRPr="00492264">
        <w:rPr>
          <w:color w:val="000000"/>
          <w:sz w:val="20"/>
          <w:szCs w:val="20"/>
          <w:lang w:val="en-US"/>
        </w:rPr>
        <w:t xml:space="preserve">]. – </w:t>
      </w:r>
      <w:r w:rsidRPr="00492264">
        <w:rPr>
          <w:color w:val="000000"/>
          <w:sz w:val="20"/>
          <w:szCs w:val="20"/>
        </w:rPr>
        <w:t>Режим</w:t>
      </w:r>
      <w:r w:rsidRPr="00492264">
        <w:rPr>
          <w:color w:val="000000"/>
          <w:sz w:val="20"/>
          <w:szCs w:val="20"/>
          <w:lang w:val="en-US"/>
        </w:rPr>
        <w:t xml:space="preserve"> </w:t>
      </w:r>
      <w:r w:rsidRPr="00492264">
        <w:rPr>
          <w:color w:val="000000"/>
          <w:sz w:val="20"/>
          <w:szCs w:val="20"/>
        </w:rPr>
        <w:t>доступу</w:t>
      </w:r>
      <w:r w:rsidRPr="00492264">
        <w:rPr>
          <w:color w:val="000000"/>
          <w:sz w:val="20"/>
          <w:szCs w:val="20"/>
          <w:lang w:val="en-US"/>
        </w:rPr>
        <w:t xml:space="preserve"> : </w:t>
      </w:r>
      <w:hyperlink r:id="rId14" w:history="1">
        <w:r w:rsidRPr="00492264">
          <w:rPr>
            <w:rStyle w:val="a5"/>
            <w:color w:val="000000"/>
            <w:sz w:val="20"/>
            <w:szCs w:val="20"/>
            <w:lang w:val="en-US"/>
          </w:rPr>
          <w:t>http://www.pwc.com</w:t>
        </w:r>
      </w:hyperlink>
      <w:r w:rsidRPr="00492264">
        <w:rPr>
          <w:color w:val="000000"/>
          <w:sz w:val="20"/>
          <w:szCs w:val="20"/>
          <w:lang w:val="en-US"/>
        </w:rPr>
        <w:t xml:space="preserve"> </w:t>
      </w:r>
      <w:hyperlink r:id="rId15" w:history="1"/>
    </w:p>
    <w:p w:rsidR="00DB5D17" w:rsidRPr="00492264" w:rsidRDefault="00DB5D17" w:rsidP="00DB5D17">
      <w:pPr>
        <w:ind w:firstLine="284"/>
        <w:contextualSpacing/>
        <w:jc w:val="both"/>
        <w:rPr>
          <w:color w:val="000000"/>
          <w:sz w:val="20"/>
          <w:szCs w:val="20"/>
        </w:rPr>
      </w:pPr>
      <w:r w:rsidRPr="00492264">
        <w:rPr>
          <w:color w:val="000000"/>
          <w:sz w:val="20"/>
          <w:szCs w:val="20"/>
        </w:rPr>
        <w:t xml:space="preserve">6. </w:t>
      </w:r>
      <w:r w:rsidRPr="00492264">
        <w:rPr>
          <w:color w:val="000000"/>
          <w:sz w:val="20"/>
          <w:szCs w:val="20"/>
          <w:lang w:val="en-US"/>
        </w:rPr>
        <w:t>Morgan</w:t>
      </w:r>
      <w:r w:rsidRPr="00492264">
        <w:rPr>
          <w:color w:val="000000"/>
          <w:sz w:val="20"/>
          <w:szCs w:val="20"/>
        </w:rPr>
        <w:t xml:space="preserve"> </w:t>
      </w:r>
      <w:r w:rsidRPr="00492264">
        <w:rPr>
          <w:color w:val="000000"/>
          <w:sz w:val="20"/>
          <w:szCs w:val="20"/>
          <w:lang w:val="en-US"/>
        </w:rPr>
        <w:t>Stanley</w:t>
      </w:r>
      <w:r w:rsidRPr="00492264">
        <w:rPr>
          <w:color w:val="000000"/>
          <w:sz w:val="20"/>
          <w:szCs w:val="20"/>
        </w:rPr>
        <w:t xml:space="preserve"> </w:t>
      </w:r>
      <w:r w:rsidRPr="00492264">
        <w:rPr>
          <w:color w:val="000000"/>
          <w:sz w:val="20"/>
          <w:szCs w:val="20"/>
          <w:lang w:val="en-US"/>
        </w:rPr>
        <w:t>Research</w:t>
      </w:r>
      <w:r w:rsidRPr="00492264">
        <w:rPr>
          <w:color w:val="000000"/>
          <w:sz w:val="20"/>
          <w:szCs w:val="20"/>
        </w:rPr>
        <w:t xml:space="preserve"> [Електронний ресурс]. – Режим доступу : </w:t>
      </w:r>
      <w:hyperlink r:id="rId16" w:history="1">
        <w:r w:rsidRPr="00492264">
          <w:rPr>
            <w:rStyle w:val="a5"/>
            <w:color w:val="000000"/>
            <w:sz w:val="20"/>
            <w:szCs w:val="20"/>
            <w:lang w:val="en-US"/>
          </w:rPr>
          <w:t>http</w:t>
        </w:r>
        <w:r w:rsidRPr="00492264">
          <w:rPr>
            <w:rStyle w:val="a5"/>
            <w:color w:val="000000"/>
            <w:sz w:val="20"/>
            <w:szCs w:val="20"/>
          </w:rPr>
          <w:t>://</w:t>
        </w:r>
        <w:r w:rsidRPr="00492264">
          <w:rPr>
            <w:rStyle w:val="a5"/>
            <w:color w:val="000000"/>
            <w:sz w:val="20"/>
            <w:szCs w:val="20"/>
            <w:lang w:val="en-US"/>
          </w:rPr>
          <w:t>www</w:t>
        </w:r>
        <w:r w:rsidRPr="00492264">
          <w:rPr>
            <w:rStyle w:val="a5"/>
            <w:color w:val="000000"/>
            <w:sz w:val="20"/>
            <w:szCs w:val="20"/>
          </w:rPr>
          <w:t>.</w:t>
        </w:r>
        <w:r w:rsidRPr="00492264">
          <w:rPr>
            <w:rStyle w:val="a5"/>
            <w:color w:val="000000"/>
            <w:sz w:val="20"/>
            <w:szCs w:val="20"/>
            <w:lang w:val="en-US"/>
          </w:rPr>
          <w:t>morganstanley</w:t>
        </w:r>
        <w:r w:rsidRPr="00492264">
          <w:rPr>
            <w:rStyle w:val="a5"/>
            <w:color w:val="000000"/>
            <w:sz w:val="20"/>
            <w:szCs w:val="20"/>
          </w:rPr>
          <w:t>.</w:t>
        </w:r>
        <w:r w:rsidRPr="00492264">
          <w:rPr>
            <w:rStyle w:val="a5"/>
            <w:color w:val="000000"/>
            <w:sz w:val="20"/>
            <w:szCs w:val="20"/>
            <w:lang w:val="en-US"/>
          </w:rPr>
          <w:t>com</w:t>
        </w:r>
      </w:hyperlink>
    </w:p>
    <w:p w:rsidR="00DB5D17" w:rsidRPr="00492264" w:rsidRDefault="00DB5D17" w:rsidP="00DB5D17">
      <w:pPr>
        <w:ind w:firstLine="284"/>
        <w:contextualSpacing/>
        <w:jc w:val="both"/>
        <w:rPr>
          <w:color w:val="000000"/>
          <w:sz w:val="20"/>
          <w:szCs w:val="20"/>
        </w:rPr>
      </w:pPr>
      <w:r w:rsidRPr="00492264">
        <w:rPr>
          <w:color w:val="000000"/>
          <w:sz w:val="20"/>
          <w:szCs w:val="20"/>
        </w:rPr>
        <w:t xml:space="preserve">7.  </w:t>
      </w:r>
      <w:r w:rsidRPr="00492264">
        <w:rPr>
          <w:rStyle w:val="notranslate"/>
          <w:color w:val="000000"/>
          <w:sz w:val="20"/>
          <w:szCs w:val="20"/>
          <w:lang w:val="en-US"/>
        </w:rPr>
        <w:t>eMarketer</w:t>
      </w:r>
      <w:r w:rsidRPr="00492264">
        <w:rPr>
          <w:rStyle w:val="notranslate"/>
          <w:color w:val="000000"/>
          <w:sz w:val="20"/>
          <w:szCs w:val="20"/>
        </w:rPr>
        <w:t>'</w:t>
      </w:r>
      <w:r w:rsidRPr="00492264">
        <w:rPr>
          <w:rStyle w:val="notranslate"/>
          <w:color w:val="000000"/>
          <w:sz w:val="20"/>
          <w:szCs w:val="20"/>
          <w:lang w:val="en-US"/>
        </w:rPr>
        <w:t>s</w:t>
      </w:r>
      <w:r w:rsidRPr="00492264">
        <w:rPr>
          <w:rStyle w:val="notranslate"/>
          <w:color w:val="000000"/>
          <w:sz w:val="20"/>
          <w:szCs w:val="20"/>
        </w:rPr>
        <w:t xml:space="preserve"> </w:t>
      </w:r>
      <w:r w:rsidRPr="00492264">
        <w:rPr>
          <w:color w:val="000000"/>
          <w:sz w:val="20"/>
          <w:szCs w:val="20"/>
        </w:rPr>
        <w:t xml:space="preserve">[Електронний ресурс]. – Режим доступу : </w:t>
      </w:r>
      <w:hyperlink r:id="rId17" w:history="1">
        <w:r w:rsidRPr="00492264">
          <w:rPr>
            <w:rStyle w:val="a5"/>
            <w:color w:val="000000"/>
            <w:sz w:val="20"/>
            <w:szCs w:val="20"/>
            <w:lang w:val="en-US"/>
          </w:rPr>
          <w:t>http</w:t>
        </w:r>
        <w:r w:rsidRPr="00492264">
          <w:rPr>
            <w:rStyle w:val="a5"/>
            <w:color w:val="000000"/>
            <w:sz w:val="20"/>
            <w:szCs w:val="20"/>
          </w:rPr>
          <w:t>://</w:t>
        </w:r>
        <w:r w:rsidRPr="00492264">
          <w:rPr>
            <w:rStyle w:val="a5"/>
            <w:color w:val="000000"/>
            <w:sz w:val="20"/>
            <w:szCs w:val="20"/>
            <w:lang w:val="en-US"/>
          </w:rPr>
          <w:t>www</w:t>
        </w:r>
        <w:r w:rsidRPr="00492264">
          <w:rPr>
            <w:rStyle w:val="a5"/>
            <w:color w:val="000000"/>
            <w:sz w:val="20"/>
            <w:szCs w:val="20"/>
          </w:rPr>
          <w:t>.</w:t>
        </w:r>
        <w:r w:rsidRPr="00492264">
          <w:rPr>
            <w:rStyle w:val="a5"/>
            <w:color w:val="000000"/>
            <w:sz w:val="20"/>
            <w:szCs w:val="20"/>
            <w:lang w:val="en-US"/>
          </w:rPr>
          <w:t>emarketer</w:t>
        </w:r>
        <w:r w:rsidRPr="00492264">
          <w:rPr>
            <w:rStyle w:val="a5"/>
            <w:color w:val="000000"/>
            <w:sz w:val="20"/>
            <w:szCs w:val="20"/>
          </w:rPr>
          <w:t>.</w:t>
        </w:r>
        <w:r w:rsidRPr="00492264">
          <w:rPr>
            <w:rStyle w:val="a5"/>
            <w:color w:val="000000"/>
            <w:sz w:val="20"/>
            <w:szCs w:val="20"/>
            <w:lang w:val="en-US"/>
          </w:rPr>
          <w:t>com</w:t>
        </w:r>
      </w:hyperlink>
    </w:p>
    <w:p w:rsidR="00DB5D17" w:rsidRDefault="00DB5D17" w:rsidP="00DB5D17">
      <w:pPr>
        <w:rPr>
          <w:b/>
          <w:sz w:val="20"/>
          <w:szCs w:val="20"/>
          <w:shd w:val="clear" w:color="auto" w:fill="FFFFFF"/>
        </w:rPr>
      </w:pPr>
    </w:p>
    <w:p w:rsidR="00257497" w:rsidRDefault="00257497">
      <w:bookmarkStart w:id="33" w:name="_GoBack"/>
      <w:bookmarkEnd w:id="33"/>
    </w:p>
    <w:sectPr w:rsidR="00257497" w:rsidSect="003E11D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6F0F"/>
    <w:multiLevelType w:val="hybridMultilevel"/>
    <w:tmpl w:val="8A765370"/>
    <w:lvl w:ilvl="0" w:tplc="99A853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B781F46"/>
    <w:multiLevelType w:val="hybridMultilevel"/>
    <w:tmpl w:val="6AA2540A"/>
    <w:lvl w:ilvl="0" w:tplc="B43862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17"/>
    <w:rsid w:val="000B1DB4"/>
    <w:rsid w:val="00257497"/>
    <w:rsid w:val="003E11DA"/>
    <w:rsid w:val="00470099"/>
    <w:rsid w:val="00DB5D17"/>
    <w:rsid w:val="00E27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17"/>
    <w:pPr>
      <w:spacing w:line="240" w:lineRule="auto"/>
      <w:ind w:firstLine="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2,Обычный (Web)1"/>
    <w:basedOn w:val="a"/>
    <w:link w:val="a4"/>
    <w:uiPriority w:val="99"/>
    <w:rsid w:val="00DB5D17"/>
    <w:pPr>
      <w:spacing w:before="100" w:beforeAutospacing="1" w:after="100" w:afterAutospacing="1"/>
    </w:pPr>
    <w:rPr>
      <w:lang w:val="uk-UA" w:eastAsia="uk-UA"/>
    </w:rPr>
  </w:style>
  <w:style w:type="character" w:customStyle="1" w:styleId="apple-converted-space">
    <w:name w:val="apple-converted-space"/>
    <w:basedOn w:val="a0"/>
    <w:rsid w:val="00DB5D17"/>
    <w:rPr>
      <w:rFonts w:cs="Times New Roman"/>
    </w:rPr>
  </w:style>
  <w:style w:type="character" w:styleId="a5">
    <w:name w:val="Hyperlink"/>
    <w:basedOn w:val="a0"/>
    <w:uiPriority w:val="99"/>
    <w:rsid w:val="00DB5D17"/>
    <w:rPr>
      <w:rFonts w:cs="Times New Roman"/>
      <w:color w:val="0000FF"/>
      <w:u w:val="single"/>
    </w:rPr>
  </w:style>
  <w:style w:type="character" w:customStyle="1" w:styleId="hps">
    <w:name w:val="hps"/>
    <w:basedOn w:val="a0"/>
    <w:rsid w:val="00DB5D17"/>
    <w:rPr>
      <w:rFonts w:cs="Times New Roman"/>
    </w:rPr>
  </w:style>
  <w:style w:type="character" w:customStyle="1" w:styleId="notranslate">
    <w:name w:val="notranslate"/>
    <w:rsid w:val="00DB5D17"/>
  </w:style>
  <w:style w:type="character" w:customStyle="1" w:styleId="a4">
    <w:name w:val="Обычный (веб) Знак"/>
    <w:aliases w:val="Обычный (веб)1 Знак,Обычный (Web)2 Знак,Обычный (Web)1 Знак"/>
    <w:basedOn w:val="a0"/>
    <w:link w:val="a3"/>
    <w:uiPriority w:val="99"/>
    <w:locked/>
    <w:rsid w:val="00DB5D17"/>
    <w:rPr>
      <w:rFonts w:eastAsia="Times New Roman" w:cs="Times New Roman"/>
      <w:sz w:val="24"/>
      <w:szCs w:val="24"/>
      <w:lang w:val="uk-UA" w:eastAsia="uk-UA"/>
    </w:rPr>
  </w:style>
  <w:style w:type="paragraph" w:customStyle="1" w:styleId="1">
    <w:name w:val="Без интервала1"/>
    <w:rsid w:val="00DB5D17"/>
    <w:pPr>
      <w:spacing w:line="240" w:lineRule="auto"/>
      <w:ind w:firstLine="0"/>
    </w:pPr>
    <w:rPr>
      <w:rFonts w:ascii="Calibri" w:eastAsia="Times New Roman" w:hAnsi="Calibri" w:cs="Calibri"/>
      <w:sz w:val="22"/>
      <w:lang w:val="uk-UA"/>
    </w:rPr>
  </w:style>
  <w:style w:type="paragraph" w:styleId="a6">
    <w:name w:val="Balloon Text"/>
    <w:basedOn w:val="a"/>
    <w:link w:val="a7"/>
    <w:uiPriority w:val="99"/>
    <w:semiHidden/>
    <w:unhideWhenUsed/>
    <w:rsid w:val="00DB5D17"/>
    <w:rPr>
      <w:rFonts w:ascii="Tahoma" w:hAnsi="Tahoma" w:cs="Tahoma"/>
      <w:sz w:val="16"/>
      <w:szCs w:val="16"/>
    </w:rPr>
  </w:style>
  <w:style w:type="character" w:customStyle="1" w:styleId="a7">
    <w:name w:val="Текст выноски Знак"/>
    <w:basedOn w:val="a0"/>
    <w:link w:val="a6"/>
    <w:uiPriority w:val="99"/>
    <w:semiHidden/>
    <w:rsid w:val="00DB5D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17"/>
    <w:pPr>
      <w:spacing w:line="240" w:lineRule="auto"/>
      <w:ind w:firstLine="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2,Обычный (Web)1"/>
    <w:basedOn w:val="a"/>
    <w:link w:val="a4"/>
    <w:uiPriority w:val="99"/>
    <w:rsid w:val="00DB5D17"/>
    <w:pPr>
      <w:spacing w:before="100" w:beforeAutospacing="1" w:after="100" w:afterAutospacing="1"/>
    </w:pPr>
    <w:rPr>
      <w:lang w:val="uk-UA" w:eastAsia="uk-UA"/>
    </w:rPr>
  </w:style>
  <w:style w:type="character" w:customStyle="1" w:styleId="apple-converted-space">
    <w:name w:val="apple-converted-space"/>
    <w:basedOn w:val="a0"/>
    <w:rsid w:val="00DB5D17"/>
    <w:rPr>
      <w:rFonts w:cs="Times New Roman"/>
    </w:rPr>
  </w:style>
  <w:style w:type="character" w:styleId="a5">
    <w:name w:val="Hyperlink"/>
    <w:basedOn w:val="a0"/>
    <w:uiPriority w:val="99"/>
    <w:rsid w:val="00DB5D17"/>
    <w:rPr>
      <w:rFonts w:cs="Times New Roman"/>
      <w:color w:val="0000FF"/>
      <w:u w:val="single"/>
    </w:rPr>
  </w:style>
  <w:style w:type="character" w:customStyle="1" w:styleId="hps">
    <w:name w:val="hps"/>
    <w:basedOn w:val="a0"/>
    <w:rsid w:val="00DB5D17"/>
    <w:rPr>
      <w:rFonts w:cs="Times New Roman"/>
    </w:rPr>
  </w:style>
  <w:style w:type="character" w:customStyle="1" w:styleId="notranslate">
    <w:name w:val="notranslate"/>
    <w:rsid w:val="00DB5D17"/>
  </w:style>
  <w:style w:type="character" w:customStyle="1" w:styleId="a4">
    <w:name w:val="Обычный (веб) Знак"/>
    <w:aliases w:val="Обычный (веб)1 Знак,Обычный (Web)2 Знак,Обычный (Web)1 Знак"/>
    <w:basedOn w:val="a0"/>
    <w:link w:val="a3"/>
    <w:uiPriority w:val="99"/>
    <w:locked/>
    <w:rsid w:val="00DB5D17"/>
    <w:rPr>
      <w:rFonts w:eastAsia="Times New Roman" w:cs="Times New Roman"/>
      <w:sz w:val="24"/>
      <w:szCs w:val="24"/>
      <w:lang w:val="uk-UA" w:eastAsia="uk-UA"/>
    </w:rPr>
  </w:style>
  <w:style w:type="paragraph" w:customStyle="1" w:styleId="1">
    <w:name w:val="Без интервала1"/>
    <w:rsid w:val="00DB5D17"/>
    <w:pPr>
      <w:spacing w:line="240" w:lineRule="auto"/>
      <w:ind w:firstLine="0"/>
    </w:pPr>
    <w:rPr>
      <w:rFonts w:ascii="Calibri" w:eastAsia="Times New Roman" w:hAnsi="Calibri" w:cs="Calibri"/>
      <w:sz w:val="22"/>
      <w:lang w:val="uk-UA"/>
    </w:rPr>
  </w:style>
  <w:style w:type="paragraph" w:styleId="a6">
    <w:name w:val="Balloon Text"/>
    <w:basedOn w:val="a"/>
    <w:link w:val="a7"/>
    <w:uiPriority w:val="99"/>
    <w:semiHidden/>
    <w:unhideWhenUsed/>
    <w:rsid w:val="00DB5D17"/>
    <w:rPr>
      <w:rFonts w:ascii="Tahoma" w:hAnsi="Tahoma" w:cs="Tahoma"/>
      <w:sz w:val="16"/>
      <w:szCs w:val="16"/>
    </w:rPr>
  </w:style>
  <w:style w:type="character" w:customStyle="1" w:styleId="a7">
    <w:name w:val="Текст выноски Знак"/>
    <w:basedOn w:val="a0"/>
    <w:link w:val="a6"/>
    <w:uiPriority w:val="99"/>
    <w:semiHidden/>
    <w:rsid w:val="00DB5D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atkearney.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hyperlink" Target="http://www" TargetMode="External"/><Relationship Id="rId17" Type="http://schemas.openxmlformats.org/officeDocument/2006/relationships/hyperlink" Target="http://www.emarketer.com" TargetMode="External"/><Relationship Id="rId2" Type="http://schemas.openxmlformats.org/officeDocument/2006/relationships/styles" Target="styles.xml"/><Relationship Id="rId16" Type="http://schemas.openxmlformats.org/officeDocument/2006/relationships/hyperlink" Target="http://www.morganstanley.com"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pwc.com/" TargetMode="External"/><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http://www.pwc.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3781</Words>
  <Characters>21556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2016-02-22T22:29:00Z</dcterms:created>
  <dcterms:modified xsi:type="dcterms:W3CDTF">2016-02-22T22:30:00Z</dcterms:modified>
</cp:coreProperties>
</file>