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proofErr w:type="spellStart"/>
      <w:r w:rsidR="00BC0C29">
        <w:rPr>
          <w:b/>
          <w:bCs/>
          <w:color w:val="000000"/>
          <w:sz w:val="28"/>
          <w:szCs w:val="28"/>
        </w:rPr>
        <w:t>Проблемні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питання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кримінально-правового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захисту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життя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та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здоров’я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особи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за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Кримінальним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кодексом</w:t>
      </w:r>
      <w:proofErr w:type="spellEnd"/>
      <w:r w:rsidR="00BC0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0C29">
        <w:rPr>
          <w:b/>
          <w:bCs/>
          <w:color w:val="000000"/>
          <w:sz w:val="28"/>
          <w:szCs w:val="28"/>
        </w:rPr>
        <w:t>України</w:t>
      </w:r>
      <w:proofErr w:type="spellEnd"/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ED393F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>
        <w:rPr>
          <w:color w:val="000000"/>
          <w:sz w:val="28"/>
          <w:szCs w:val="28"/>
          <w:u w:val="single"/>
          <w:lang w:val="uk-UA" w:eastAsia="ar-SA"/>
        </w:rPr>
        <w:t>0</w:t>
      </w:r>
      <w:r w:rsidR="00984951">
        <w:rPr>
          <w:color w:val="000000"/>
          <w:sz w:val="28"/>
          <w:szCs w:val="28"/>
          <w:u w:val="single"/>
          <w:lang w:eastAsia="ar-SA"/>
        </w:rPr>
        <w:t>8</w:t>
      </w:r>
      <w:r>
        <w:rPr>
          <w:color w:val="000000"/>
          <w:sz w:val="28"/>
          <w:szCs w:val="28"/>
          <w:u w:val="single"/>
          <w:lang w:val="uk-UA" w:eastAsia="ar-SA"/>
        </w:rPr>
        <w:t>1 «Право»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ED393F">
        <w:rPr>
          <w:color w:val="000000"/>
          <w:sz w:val="28"/>
          <w:szCs w:val="28"/>
          <w:u w:val="single"/>
          <w:lang w:val="uk-UA" w:eastAsia="ar-SA"/>
        </w:rPr>
        <w:t>к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.ю.н</w:t>
      </w:r>
      <w:proofErr w:type="spellEnd"/>
      <w:r w:rsidRPr="00E82D7B">
        <w:rPr>
          <w:color w:val="000000"/>
          <w:sz w:val="28"/>
          <w:szCs w:val="28"/>
          <w:u w:val="single"/>
          <w:lang w:val="uk-UA" w:eastAsia="ar-SA"/>
        </w:rPr>
        <w:t xml:space="preserve">., </w:t>
      </w:r>
      <w:r w:rsidR="00ED393F">
        <w:rPr>
          <w:color w:val="000000"/>
          <w:sz w:val="28"/>
          <w:szCs w:val="28"/>
          <w:u w:val="single"/>
          <w:lang w:val="uk-UA" w:eastAsia="ar-SA"/>
        </w:rPr>
        <w:t>доцент</w:t>
      </w:r>
      <w:r w:rsidR="00DB0649" w:rsidRPr="00DB0649">
        <w:rPr>
          <w:color w:val="000000"/>
          <w:sz w:val="28"/>
          <w:szCs w:val="28"/>
          <w:u w:val="single"/>
          <w:lang w:val="ru-RU" w:eastAsia="ar-SA"/>
        </w:rPr>
        <w:t xml:space="preserve"> К.В.</w:t>
      </w:r>
      <w:r w:rsidR="00DB0649">
        <w:rPr>
          <w:color w:val="000000"/>
          <w:sz w:val="28"/>
          <w:szCs w:val="28"/>
          <w:u w:val="single"/>
          <w:lang w:eastAsia="ar-SA"/>
        </w:rPr>
        <w:t> </w:t>
      </w:r>
      <w:r w:rsidR="00DB0649" w:rsidRPr="00DB0649">
        <w:rPr>
          <w:color w:val="000000"/>
          <w:sz w:val="28"/>
          <w:szCs w:val="28"/>
          <w:u w:val="single"/>
          <w:lang w:val="ru-RU" w:eastAsia="ar-SA"/>
        </w:rPr>
        <w:t>Катеринчук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84951">
      <w:pPr>
        <w:tabs>
          <w:tab w:val="left" w:pos="4860"/>
        </w:tabs>
        <w:spacing w:line="360" w:lineRule="auto"/>
        <w:ind w:left="5812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992841" w:rsidRPr="00C0504A" w:rsidRDefault="00992841" w:rsidP="00984951">
      <w:pPr>
        <w:tabs>
          <w:tab w:val="left" w:pos="4860"/>
        </w:tabs>
        <w:spacing w:line="360" w:lineRule="auto"/>
        <w:ind w:left="5812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>кримінального 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</w:p>
    <w:p w:rsidR="00992841" w:rsidRPr="00C0504A" w:rsidRDefault="00992841" w:rsidP="00984951">
      <w:pPr>
        <w:tabs>
          <w:tab w:val="left" w:pos="4860"/>
        </w:tabs>
        <w:spacing w:line="360" w:lineRule="auto"/>
        <w:ind w:firstLine="4140"/>
        <w:jc w:val="right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Протокол №  від «___»_____20__р.</w:t>
      </w:r>
    </w:p>
    <w:p w:rsidR="00992841" w:rsidRPr="00984951" w:rsidRDefault="00992841" w:rsidP="00984951">
      <w:pPr>
        <w:pStyle w:val="a3"/>
        <w:spacing w:line="276" w:lineRule="auto"/>
        <w:ind w:firstLine="567"/>
        <w:jc w:val="right"/>
        <w:rPr>
          <w:b/>
        </w:rPr>
      </w:pPr>
      <w:r w:rsidRPr="00C0504A">
        <w:rPr>
          <w:lang w:val="uk-UA" w:eastAsia="ar-SA"/>
        </w:rPr>
        <w:t>Завід</w:t>
      </w:r>
      <w:r w:rsidR="00984951">
        <w:rPr>
          <w:lang w:val="uk-UA" w:eastAsia="ar-SA"/>
        </w:rPr>
        <w:t>увач кафедри_______________</w:t>
      </w:r>
    </w:p>
    <w:p w:rsidR="00992841" w:rsidRPr="00992841" w:rsidRDefault="00992841" w:rsidP="00984951">
      <w:pPr>
        <w:pStyle w:val="a3"/>
        <w:pageBreakBefore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повинна відображати окремі теоретико-практичні проблеми з відповідної дисципліни і виконуватися студентом </w:t>
      </w:r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 xml:space="preserve">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аналітична ситуація). В окремих випадках не виключається поєднання вказаних двох форм контрольноїроботи.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у формі завдання з відповідної навчальної дисципліни є логічно сформульованим і поставленим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плані конкретним науковим завданням, що виражається в пошуку можливих варіантів і шляхів його розв'язання.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r w:rsidRPr="00992841">
        <w:rPr>
          <w:lang w:val="ru-RU"/>
        </w:rPr>
        <w:t xml:space="preserve">Незважаючи на </w:t>
      </w:r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уточнення  завдання,  виявлення  необхідних  джерел  для  роботинад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виявлення тенденцій розвитку процесів, що випливають із завдання,їх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здійснення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вирішення завдання (власний варіант), його пояснення таінтерпретація;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формулювання заключних висновків з викладанням прогнозу розвитку процесу (явища) вперспективі.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виконується студентами самостійно. Вона </w:t>
      </w:r>
      <w:proofErr w:type="gramStart"/>
      <w:r w:rsidRPr="00992841">
        <w:rPr>
          <w:lang w:val="ru-RU"/>
        </w:rPr>
        <w:t>повинна</w:t>
      </w:r>
      <w:proofErr w:type="gramEnd"/>
      <w:r w:rsidRPr="00992841">
        <w:rPr>
          <w:lang w:val="ru-RU"/>
        </w:rPr>
        <w:t xml:space="preserve"> бути викладена логічно та технічно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Робота виконана з порушенням даних вимог повертається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умовно поділяють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Слово “КОНТРОЛЬНА </w:t>
      </w:r>
      <w:proofErr w:type="spellStart"/>
      <w:r w:rsidRPr="00992841">
        <w:rPr>
          <w:sz w:val="28"/>
          <w:szCs w:val="28"/>
          <w:lang w:val="uk-UA"/>
        </w:rPr>
        <w:t>РОБОТА”</w:t>
      </w:r>
      <w:proofErr w:type="spellEnd"/>
      <w:r w:rsidRPr="00992841">
        <w:rPr>
          <w:sz w:val="28"/>
          <w:szCs w:val="28"/>
          <w:lang w:val="uk-UA"/>
        </w:rPr>
        <w:t xml:space="preserve">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</w:t>
      </w:r>
      <w:r w:rsidR="00DB0649">
        <w:rPr>
          <w:sz w:val="28"/>
          <w:szCs w:val="28"/>
          <w:lang w:val="uk-UA"/>
        </w:rPr>
        <w:t xml:space="preserve">фр </w:t>
      </w:r>
      <w:proofErr w:type="spellStart"/>
      <w:r w:rsidR="00DB0649">
        <w:rPr>
          <w:sz w:val="28"/>
          <w:szCs w:val="28"/>
          <w:lang w:val="uk-UA"/>
        </w:rPr>
        <w:t>академгрупи</w:t>
      </w:r>
      <w:proofErr w:type="spellEnd"/>
      <w:r w:rsidR="00DB0649">
        <w:rPr>
          <w:sz w:val="28"/>
          <w:szCs w:val="28"/>
          <w:lang w:val="uk-UA"/>
        </w:rPr>
        <w:t xml:space="preserve"> студента, нижче –</w:t>
      </w:r>
      <w:r w:rsidRPr="00992841">
        <w:rPr>
          <w:sz w:val="28"/>
          <w:szCs w:val="28"/>
          <w:lang w:val="uk-UA"/>
        </w:rPr>
        <w:t xml:space="preserve">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</w:t>
      </w:r>
      <w:r w:rsidRPr="00992841">
        <w:rPr>
          <w:sz w:val="28"/>
          <w:szCs w:val="28"/>
          <w:lang w:val="uk-UA"/>
        </w:rPr>
        <w:lastRenderedPageBreak/>
        <w:t xml:space="preserve">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 xml:space="preserve"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</w:t>
      </w:r>
      <w:proofErr w:type="spellStart"/>
      <w:r w:rsidR="000C227F" w:rsidRPr="00992841">
        <w:rPr>
          <w:sz w:val="28"/>
          <w:szCs w:val="28"/>
          <w:lang w:val="uk-UA"/>
        </w:rPr>
        <w:t>Times</w:t>
      </w:r>
      <w:proofErr w:type="spellEnd"/>
      <w:r w:rsidR="000C227F" w:rsidRPr="00992841">
        <w:rPr>
          <w:sz w:val="28"/>
          <w:szCs w:val="28"/>
          <w:lang w:val="uk-UA"/>
        </w:rPr>
        <w:t xml:space="preserve"> </w:t>
      </w:r>
      <w:proofErr w:type="spellStart"/>
      <w:r w:rsidR="000C227F" w:rsidRPr="00992841">
        <w:rPr>
          <w:sz w:val="28"/>
          <w:szCs w:val="28"/>
          <w:lang w:val="uk-UA"/>
        </w:rPr>
        <w:t>New</w:t>
      </w:r>
      <w:proofErr w:type="spellEnd"/>
      <w:r w:rsidR="000C227F" w:rsidRPr="00992841">
        <w:rPr>
          <w:sz w:val="28"/>
          <w:szCs w:val="28"/>
          <w:lang w:val="uk-UA"/>
        </w:rPr>
        <w:t xml:space="preserve"> </w:t>
      </w:r>
      <w:proofErr w:type="spellStart"/>
      <w:r w:rsidR="000C227F" w:rsidRPr="00992841">
        <w:rPr>
          <w:sz w:val="28"/>
          <w:szCs w:val="28"/>
          <w:lang w:val="uk-UA"/>
        </w:rPr>
        <w:t>Roman</w:t>
      </w:r>
      <w:proofErr w:type="spellEnd"/>
      <w:r w:rsidR="000C227F" w:rsidRPr="00992841">
        <w:rPr>
          <w:sz w:val="28"/>
          <w:szCs w:val="28"/>
          <w:lang w:val="uk-UA"/>
        </w:rPr>
        <w:t>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Титульний аркуш включають до загальної нумерації сторінок роботи. Номер </w:t>
      </w:r>
      <w:r w:rsidRPr="00992841">
        <w:rPr>
          <w:sz w:val="28"/>
          <w:szCs w:val="28"/>
          <w:lang w:val="uk-UA"/>
        </w:rPr>
        <w:lastRenderedPageBreak/>
        <w:t>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>До її проведення студент, за</w:t>
      </w:r>
      <w:r w:rsidR="00992841" w:rsidRPr="00992841">
        <w:rPr>
          <w:sz w:val="28"/>
          <w:szCs w:val="28"/>
          <w:lang w:val="ru-RU"/>
        </w:rPr>
        <w:t xml:space="preserve"> наявності зауважень</w:t>
      </w:r>
      <w:r w:rsidRPr="00992841">
        <w:rPr>
          <w:sz w:val="28"/>
          <w:szCs w:val="28"/>
          <w:lang w:val="ru-RU"/>
        </w:rPr>
        <w:t xml:space="preserve">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урахуванням роботи і відповідей студента на поставлені питання, викладач оцінює її «зараховано» або «не зараховано».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 xml:space="preserve">Виконана робота повинна бути </w:t>
      </w:r>
      <w:r w:rsidR="00992841" w:rsidRPr="00992841">
        <w:rPr>
          <w:lang w:val="ru-RU"/>
        </w:rPr>
        <w:t>здана на кафедру</w:t>
      </w:r>
      <w:r w:rsidRPr="00992841">
        <w:rPr>
          <w:lang w:val="ru-RU"/>
        </w:rPr>
        <w:t xml:space="preserve"> не </w:t>
      </w:r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 xml:space="preserve">ізніше ніж за </w:t>
      </w:r>
      <w:r w:rsidR="00992841" w:rsidRPr="00992841">
        <w:rPr>
          <w:lang w:val="ru-RU"/>
        </w:rPr>
        <w:t>2тижні</w:t>
      </w:r>
      <w:r w:rsidRPr="00992841">
        <w:rPr>
          <w:lang w:val="ru-RU"/>
        </w:rPr>
        <w:t xml:space="preserve"> до початку сесії.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 xml:space="preserve">Якщо контрольна робота виконана без дотримання рекомендацій або не повністю, вона повертається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перевірки на доопрацювання.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02CC5" w:rsidRPr="00002CC5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>1.Основні рекомендовані джерела</w:t>
      </w:r>
    </w:p>
    <w:p w:rsidR="003228EC" w:rsidRPr="003228EC" w:rsidRDefault="003228EC" w:rsidP="003228EC">
      <w:pPr>
        <w:tabs>
          <w:tab w:val="num" w:pos="1260"/>
        </w:tabs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1.1. Конституція України від 28 червня 1996 р. станом на 15.03. 2016 р. </w:t>
      </w:r>
      <w:r w:rsidRPr="009D413A">
        <w:rPr>
          <w:sz w:val="27"/>
          <w:szCs w:val="27"/>
          <w:lang w:val="ru-RU"/>
        </w:rPr>
        <w:t>[</w:t>
      </w:r>
      <w:r w:rsidRPr="003228EC">
        <w:rPr>
          <w:sz w:val="27"/>
          <w:szCs w:val="27"/>
          <w:lang w:val="ru-RU"/>
        </w:rPr>
        <w:t>Електронний ресурс</w:t>
      </w:r>
      <w:r w:rsidRPr="009D413A">
        <w:rPr>
          <w:sz w:val="27"/>
          <w:szCs w:val="27"/>
          <w:lang w:val="ru-RU"/>
        </w:rPr>
        <w:t>]</w:t>
      </w:r>
      <w:r w:rsidRPr="003228EC">
        <w:rPr>
          <w:sz w:val="27"/>
          <w:szCs w:val="27"/>
          <w:lang w:val="ru-RU"/>
        </w:rPr>
        <w:t xml:space="preserve">. – Режим доступу:  </w:t>
      </w:r>
      <w:r w:rsidRPr="009D413A">
        <w:rPr>
          <w:sz w:val="27"/>
          <w:szCs w:val="27"/>
        </w:rPr>
        <w:t>http</w:t>
      </w:r>
      <w:r w:rsidRPr="003228EC">
        <w:rPr>
          <w:sz w:val="27"/>
          <w:szCs w:val="27"/>
          <w:lang w:val="ru-RU"/>
        </w:rPr>
        <w:t>://</w:t>
      </w:r>
      <w:proofErr w:type="spellStart"/>
      <w:r w:rsidRPr="009D413A">
        <w:rPr>
          <w:sz w:val="27"/>
          <w:szCs w:val="27"/>
        </w:rPr>
        <w:t>zakon</w:t>
      </w:r>
      <w:proofErr w:type="spellEnd"/>
      <w:r w:rsidRPr="003228EC">
        <w:rPr>
          <w:sz w:val="27"/>
          <w:szCs w:val="27"/>
          <w:lang w:val="ru-RU"/>
        </w:rPr>
        <w:t>2.</w:t>
      </w:r>
      <w:proofErr w:type="spellStart"/>
      <w:r w:rsidRPr="009D413A">
        <w:rPr>
          <w:sz w:val="27"/>
          <w:szCs w:val="27"/>
        </w:rPr>
        <w:t>rada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gov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ua</w:t>
      </w:r>
      <w:proofErr w:type="spellEnd"/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laws</w:t>
      </w:r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show</w:t>
      </w:r>
      <w:r w:rsidRPr="003228EC">
        <w:rPr>
          <w:sz w:val="27"/>
          <w:szCs w:val="27"/>
          <w:lang w:val="ru-RU"/>
        </w:rPr>
        <w:t>/254%</w:t>
      </w:r>
      <w:r w:rsidRPr="009D413A">
        <w:rPr>
          <w:sz w:val="27"/>
          <w:szCs w:val="27"/>
        </w:rPr>
        <w:t>D</w:t>
      </w:r>
      <w:r w:rsidRPr="003228EC">
        <w:rPr>
          <w:sz w:val="27"/>
          <w:szCs w:val="27"/>
          <w:lang w:val="ru-RU"/>
        </w:rPr>
        <w:t>0%</w:t>
      </w:r>
      <w:r w:rsidRPr="009D413A">
        <w:rPr>
          <w:sz w:val="27"/>
          <w:szCs w:val="27"/>
        </w:rPr>
        <w:t>BA</w:t>
      </w:r>
      <w:r w:rsidRPr="003228EC">
        <w:rPr>
          <w:sz w:val="27"/>
          <w:szCs w:val="27"/>
          <w:lang w:val="ru-RU"/>
        </w:rPr>
        <w:t>/96-%</w:t>
      </w:r>
      <w:r w:rsidRPr="009D413A">
        <w:rPr>
          <w:sz w:val="27"/>
          <w:szCs w:val="27"/>
        </w:rPr>
        <w:t>D</w:t>
      </w:r>
      <w:r w:rsidRPr="003228EC">
        <w:rPr>
          <w:sz w:val="27"/>
          <w:szCs w:val="27"/>
          <w:lang w:val="ru-RU"/>
        </w:rPr>
        <w:t>0%</w:t>
      </w:r>
      <w:r w:rsidRPr="009D413A">
        <w:rPr>
          <w:sz w:val="27"/>
          <w:szCs w:val="27"/>
        </w:rPr>
        <w:t>B</w:t>
      </w:r>
      <w:r w:rsidRPr="003228EC">
        <w:rPr>
          <w:sz w:val="27"/>
          <w:szCs w:val="27"/>
          <w:lang w:val="ru-RU"/>
        </w:rPr>
        <w:t>2%</w:t>
      </w:r>
      <w:r w:rsidRPr="009D413A">
        <w:rPr>
          <w:sz w:val="27"/>
          <w:szCs w:val="27"/>
        </w:rPr>
        <w:t>D</w:t>
      </w:r>
      <w:r w:rsidRPr="003228EC">
        <w:rPr>
          <w:sz w:val="27"/>
          <w:szCs w:val="27"/>
          <w:lang w:val="ru-RU"/>
        </w:rPr>
        <w:t>1%80</w:t>
      </w:r>
    </w:p>
    <w:p w:rsidR="003228EC" w:rsidRPr="003228EC" w:rsidRDefault="003228EC" w:rsidP="003228EC">
      <w:pPr>
        <w:tabs>
          <w:tab w:val="num" w:pos="1260"/>
        </w:tabs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1.2. Кримінальний кодекс України від 05 квітня 2001 р. станом на 01.05.2016 р. </w:t>
      </w:r>
      <w:r w:rsidRPr="009D413A">
        <w:rPr>
          <w:sz w:val="27"/>
          <w:szCs w:val="27"/>
          <w:lang w:val="ru-RU"/>
        </w:rPr>
        <w:t>[</w:t>
      </w:r>
      <w:r w:rsidRPr="003228EC">
        <w:rPr>
          <w:sz w:val="27"/>
          <w:szCs w:val="27"/>
          <w:lang w:val="ru-RU"/>
        </w:rPr>
        <w:t>Електронний ресурс</w:t>
      </w:r>
      <w:r w:rsidRPr="009D413A">
        <w:rPr>
          <w:sz w:val="27"/>
          <w:szCs w:val="27"/>
          <w:lang w:val="ru-RU"/>
        </w:rPr>
        <w:t>]</w:t>
      </w:r>
      <w:r w:rsidRPr="003228EC">
        <w:rPr>
          <w:sz w:val="27"/>
          <w:szCs w:val="27"/>
          <w:lang w:val="ru-RU"/>
        </w:rPr>
        <w:t xml:space="preserve">. – Режим доступу:  </w:t>
      </w:r>
      <w:r w:rsidRPr="009D413A">
        <w:rPr>
          <w:sz w:val="27"/>
          <w:szCs w:val="27"/>
        </w:rPr>
        <w:t>http</w:t>
      </w:r>
      <w:r w:rsidRPr="003228EC">
        <w:rPr>
          <w:sz w:val="27"/>
          <w:szCs w:val="27"/>
          <w:lang w:val="ru-RU"/>
        </w:rPr>
        <w:t>://</w:t>
      </w:r>
      <w:proofErr w:type="spellStart"/>
      <w:r w:rsidRPr="009D413A">
        <w:rPr>
          <w:sz w:val="27"/>
          <w:szCs w:val="27"/>
        </w:rPr>
        <w:t>zakon</w:t>
      </w:r>
      <w:proofErr w:type="spellEnd"/>
      <w:r w:rsidRPr="003228EC">
        <w:rPr>
          <w:sz w:val="27"/>
          <w:szCs w:val="27"/>
          <w:lang w:val="ru-RU"/>
        </w:rPr>
        <w:t>2.</w:t>
      </w:r>
      <w:proofErr w:type="spellStart"/>
      <w:r w:rsidRPr="009D413A">
        <w:rPr>
          <w:sz w:val="27"/>
          <w:szCs w:val="27"/>
        </w:rPr>
        <w:t>rada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gov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ua</w:t>
      </w:r>
      <w:proofErr w:type="spellEnd"/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laws</w:t>
      </w:r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show</w:t>
      </w:r>
      <w:r w:rsidRPr="003228EC">
        <w:rPr>
          <w:sz w:val="27"/>
          <w:szCs w:val="27"/>
          <w:lang w:val="ru-RU"/>
        </w:rPr>
        <w:t>/2341-14</w:t>
      </w:r>
    </w:p>
    <w:p w:rsidR="003228EC" w:rsidRPr="003228EC" w:rsidRDefault="003228EC" w:rsidP="003228EC">
      <w:pPr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>1.3. Науково-практичний коментар Кримінального кодексу України / за ред. М.І. Мельника, М.І. Хавронюка. – 9-те вид</w:t>
      </w:r>
      <w:proofErr w:type="gramStart"/>
      <w:r w:rsidRPr="003228EC">
        <w:rPr>
          <w:sz w:val="27"/>
          <w:szCs w:val="27"/>
          <w:lang w:val="ru-RU"/>
        </w:rPr>
        <w:t xml:space="preserve">., </w:t>
      </w:r>
      <w:proofErr w:type="gramEnd"/>
      <w:r w:rsidRPr="003228EC">
        <w:rPr>
          <w:sz w:val="27"/>
          <w:szCs w:val="27"/>
          <w:lang w:val="ru-RU"/>
        </w:rPr>
        <w:t xml:space="preserve">перероб. і допов. – К.: Юридична думка, 2012. – </w:t>
      </w:r>
      <w:r w:rsidRPr="00D94983">
        <w:rPr>
          <w:sz w:val="27"/>
          <w:szCs w:val="27"/>
          <w:lang w:val="ru-RU"/>
        </w:rPr>
        <w:t>1316 с.</w:t>
      </w:r>
    </w:p>
    <w:p w:rsidR="003228EC" w:rsidRPr="00D94983" w:rsidRDefault="003228EC" w:rsidP="003228EC">
      <w:pPr>
        <w:pStyle w:val="12"/>
        <w:spacing w:line="240" w:lineRule="auto"/>
        <w:ind w:left="0" w:firstLine="709"/>
        <w:rPr>
          <w:rFonts w:ascii="Times New Roman" w:eastAsia="TimesNewRomanPSMT" w:hAnsi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1.4. </w:t>
      </w:r>
      <w:r w:rsidRPr="00D94983">
        <w:rPr>
          <w:rFonts w:ascii="Times New Roman" w:hAnsi="Times New Roman" w:cs="Times New Roman"/>
          <w:sz w:val="27"/>
          <w:szCs w:val="27"/>
          <w:lang w:val="uk-UA"/>
        </w:rPr>
        <w:t xml:space="preserve">Кримінальний </w:t>
      </w:r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кодекс України. Науково-практичний коментар : у 2 т. / за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заг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. ред. В. Я.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Тація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, В. П.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Пшонки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, В. І. Борисова, В. І.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Тютюгіна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. – 5-те вид.,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допов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. – Т. 1 : Загальна частина / Ю. В.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Баулін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, В. І. Борисов, В. І.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Тютюгін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та ін. Х. : Право, 2013. – 376 с. </w:t>
      </w:r>
    </w:p>
    <w:p w:rsidR="003228EC" w:rsidRPr="003228EC" w:rsidRDefault="003228EC" w:rsidP="003228EC">
      <w:pPr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1.5. Українське кримінальне право. Загальна частина: </w:t>
      </w:r>
      <w:proofErr w:type="gramStart"/>
      <w:r w:rsidRPr="003228EC">
        <w:rPr>
          <w:sz w:val="27"/>
          <w:szCs w:val="27"/>
          <w:lang w:val="ru-RU"/>
        </w:rPr>
        <w:t>п</w:t>
      </w:r>
      <w:proofErr w:type="gramEnd"/>
      <w:r w:rsidRPr="003228EC">
        <w:rPr>
          <w:sz w:val="27"/>
          <w:szCs w:val="27"/>
          <w:lang w:val="ru-RU"/>
        </w:rPr>
        <w:t>ідручник / за ред. В.О. Навроцького. – К.: Юрінком Інтер, 2013. – 712 с.</w:t>
      </w:r>
    </w:p>
    <w:p w:rsidR="003228EC" w:rsidRPr="003228EC" w:rsidRDefault="003228EC" w:rsidP="003228EC">
      <w:pPr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1.6. Кримінальне право України: Загальна частина: </w:t>
      </w:r>
      <w:proofErr w:type="gramStart"/>
      <w:r w:rsidRPr="003228EC">
        <w:rPr>
          <w:sz w:val="27"/>
          <w:szCs w:val="27"/>
          <w:lang w:val="ru-RU"/>
        </w:rPr>
        <w:t>п</w:t>
      </w:r>
      <w:proofErr w:type="gramEnd"/>
      <w:r w:rsidRPr="003228EC">
        <w:rPr>
          <w:sz w:val="27"/>
          <w:szCs w:val="27"/>
          <w:lang w:val="ru-RU"/>
        </w:rPr>
        <w:t>ідруч. / Ю.В. Баулін, В.І. Борисов, В.І. Тютюгін та і</w:t>
      </w:r>
      <w:proofErr w:type="gramStart"/>
      <w:r w:rsidRPr="003228EC">
        <w:rPr>
          <w:sz w:val="27"/>
          <w:szCs w:val="27"/>
          <w:lang w:val="ru-RU"/>
        </w:rPr>
        <w:t>н</w:t>
      </w:r>
      <w:proofErr w:type="gramEnd"/>
      <w:r w:rsidRPr="003228EC">
        <w:rPr>
          <w:sz w:val="27"/>
          <w:szCs w:val="27"/>
          <w:lang w:val="ru-RU"/>
        </w:rPr>
        <w:t>..; за ред. В.В. Сташиса, В.Я. Таці</w:t>
      </w:r>
      <w:proofErr w:type="gramStart"/>
      <w:r w:rsidRPr="003228EC">
        <w:rPr>
          <w:sz w:val="27"/>
          <w:szCs w:val="27"/>
          <w:lang w:val="ru-RU"/>
        </w:rPr>
        <w:t>я</w:t>
      </w:r>
      <w:proofErr w:type="gramEnd"/>
      <w:r w:rsidRPr="003228EC">
        <w:rPr>
          <w:sz w:val="27"/>
          <w:szCs w:val="27"/>
          <w:lang w:val="ru-RU"/>
        </w:rPr>
        <w:t>. – 4-те вид., перероб. І допов. – Х.: Право, 2010. – 456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right="34" w:firstLine="709"/>
        <w:jc w:val="both"/>
        <w:rPr>
          <w:spacing w:val="-2"/>
          <w:sz w:val="27"/>
          <w:szCs w:val="27"/>
          <w:lang w:val="ru-RU"/>
        </w:rPr>
      </w:pPr>
      <w:r w:rsidRPr="003228EC">
        <w:rPr>
          <w:spacing w:val="-2"/>
          <w:sz w:val="27"/>
          <w:szCs w:val="27"/>
          <w:lang w:val="ru-RU"/>
        </w:rPr>
        <w:t xml:space="preserve">1.7. Навроцький В.О. Основи кримінально-правової кваліфікації: Навч. </w:t>
      </w:r>
      <w:proofErr w:type="gramStart"/>
      <w:r w:rsidRPr="003228EC">
        <w:rPr>
          <w:spacing w:val="-2"/>
          <w:sz w:val="27"/>
          <w:szCs w:val="27"/>
          <w:lang w:val="ru-RU"/>
        </w:rPr>
        <w:t>пос</w:t>
      </w:r>
      <w:proofErr w:type="gramEnd"/>
      <w:r w:rsidRPr="003228EC">
        <w:rPr>
          <w:spacing w:val="-2"/>
          <w:sz w:val="27"/>
          <w:szCs w:val="27"/>
          <w:lang w:val="ru-RU"/>
        </w:rPr>
        <w:t xml:space="preserve">ібник </w:t>
      </w:r>
      <w:r w:rsidRPr="003228EC">
        <w:rPr>
          <w:spacing w:val="-2"/>
          <w:sz w:val="27"/>
          <w:szCs w:val="27"/>
          <w:lang w:val="ru-RU"/>
        </w:rPr>
        <w:lastRenderedPageBreak/>
        <w:t>/ Навроцький В.О. – К.: Юрінком Інтер, 2006. – 704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lang w:val="ru-RU"/>
        </w:rPr>
      </w:pPr>
    </w:p>
    <w:p w:rsidR="003228EC" w:rsidRPr="003228EC" w:rsidRDefault="003228EC" w:rsidP="003228EC">
      <w:pPr>
        <w:ind w:firstLine="567"/>
        <w:rPr>
          <w:b/>
          <w:spacing w:val="-2"/>
          <w:sz w:val="27"/>
          <w:lang w:val="ru-RU"/>
        </w:rPr>
      </w:pPr>
      <w:r w:rsidRPr="003228EC">
        <w:rPr>
          <w:b/>
          <w:spacing w:val="-2"/>
          <w:sz w:val="27"/>
          <w:lang w:val="ru-RU"/>
        </w:rPr>
        <w:t xml:space="preserve"> Додаткові рекомендовані джерела</w:t>
      </w:r>
    </w:p>
    <w:p w:rsidR="003228EC" w:rsidRPr="003228EC" w:rsidRDefault="003228EC" w:rsidP="003228EC">
      <w:pPr>
        <w:ind w:firstLine="567"/>
        <w:rPr>
          <w:spacing w:val="-2"/>
          <w:sz w:val="27"/>
          <w:lang w:val="ru-RU"/>
        </w:rPr>
      </w:pP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 xml:space="preserve">1.9. </w:t>
      </w:r>
      <w:r w:rsidRPr="0074477F">
        <w:rPr>
          <w:bCs/>
          <w:sz w:val="27"/>
          <w:szCs w:val="27"/>
          <w:lang w:val="ru-RU"/>
        </w:rPr>
        <w:t>Дудоров О.О., Хавронюк М.І. Кримінальне право: Навчальнийпосібник</w:t>
      </w:r>
      <w:proofErr w:type="gramStart"/>
      <w:r w:rsidRPr="0074477F">
        <w:rPr>
          <w:sz w:val="27"/>
          <w:szCs w:val="27"/>
          <w:lang w:val="ru-RU"/>
        </w:rPr>
        <w:t>/ З</w:t>
      </w:r>
      <w:proofErr w:type="gramEnd"/>
      <w:r w:rsidRPr="0074477F">
        <w:rPr>
          <w:sz w:val="27"/>
          <w:szCs w:val="27"/>
          <w:lang w:val="ru-RU"/>
        </w:rPr>
        <w:t>а заг. ред. М.І. Хавронюка. – К.</w:t>
      </w:r>
      <w:r>
        <w:rPr>
          <w:sz w:val="27"/>
          <w:szCs w:val="27"/>
          <w:lang w:val="ru-RU"/>
        </w:rPr>
        <w:t xml:space="preserve">, </w:t>
      </w:r>
      <w:r w:rsidRPr="0074477F">
        <w:rPr>
          <w:sz w:val="27"/>
          <w:szCs w:val="27"/>
          <w:lang w:val="ru-RU"/>
        </w:rPr>
        <w:t>2014. – 944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8"/>
          <w:lang w:val="ru-RU"/>
        </w:rPr>
      </w:pPr>
      <w:r w:rsidRPr="003228EC">
        <w:rPr>
          <w:spacing w:val="-2"/>
          <w:sz w:val="27"/>
          <w:szCs w:val="28"/>
          <w:lang w:val="ru-RU"/>
        </w:rPr>
        <w:t xml:space="preserve">1.10. Александров Ю.В. Кримінальне право України. Загальна частина: </w:t>
      </w:r>
      <w:proofErr w:type="gramStart"/>
      <w:r w:rsidRPr="003228EC">
        <w:rPr>
          <w:spacing w:val="-2"/>
          <w:sz w:val="27"/>
          <w:szCs w:val="28"/>
          <w:lang w:val="ru-RU"/>
        </w:rPr>
        <w:t>П</w:t>
      </w:r>
      <w:proofErr w:type="gramEnd"/>
      <w:r w:rsidRPr="003228EC">
        <w:rPr>
          <w:spacing w:val="-2"/>
          <w:sz w:val="27"/>
          <w:szCs w:val="28"/>
          <w:lang w:val="ru-RU"/>
        </w:rPr>
        <w:t>ідручник / Александров Ю.В., Антипов В.И., Дудоров О.О. – К.: Атіка, 2008. – 376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8"/>
          <w:lang w:val="ru-RU"/>
        </w:rPr>
      </w:pPr>
      <w:r w:rsidRPr="003228EC">
        <w:rPr>
          <w:spacing w:val="-2"/>
          <w:sz w:val="27"/>
          <w:szCs w:val="28"/>
          <w:lang w:val="ru-RU"/>
        </w:rPr>
        <w:t xml:space="preserve">1.11. Галабала М.В. Кримінальне право України: Бібліографія. 1991 – 2005 / Галабала М.В., Навроцький В.О., Хилюк С.В. – К.: Алерта, 2008. – 536 </w:t>
      </w:r>
      <w:proofErr w:type="gramStart"/>
      <w:r w:rsidRPr="003228EC">
        <w:rPr>
          <w:spacing w:val="-2"/>
          <w:sz w:val="27"/>
          <w:szCs w:val="28"/>
          <w:lang w:val="ru-RU"/>
        </w:rPr>
        <w:t>с</w:t>
      </w:r>
      <w:proofErr w:type="gramEnd"/>
      <w:r w:rsidRPr="003228EC">
        <w:rPr>
          <w:spacing w:val="-2"/>
          <w:sz w:val="27"/>
          <w:szCs w:val="28"/>
          <w:lang w:val="ru-RU"/>
        </w:rPr>
        <w:t>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7"/>
          <w:lang w:val="ru-RU"/>
        </w:rPr>
      </w:pPr>
      <w:r w:rsidRPr="003228EC">
        <w:rPr>
          <w:spacing w:val="-2"/>
          <w:sz w:val="27"/>
          <w:szCs w:val="27"/>
          <w:lang w:val="ru-RU"/>
        </w:rPr>
        <w:t xml:space="preserve">1.12. Грищук В.К. Кримінальне право України: Загальна частина: Навч. </w:t>
      </w:r>
      <w:proofErr w:type="gramStart"/>
      <w:r w:rsidRPr="003228EC">
        <w:rPr>
          <w:spacing w:val="-2"/>
          <w:sz w:val="27"/>
          <w:szCs w:val="27"/>
          <w:lang w:val="ru-RU"/>
        </w:rPr>
        <w:t>пос</w:t>
      </w:r>
      <w:proofErr w:type="gramEnd"/>
      <w:r w:rsidRPr="003228EC">
        <w:rPr>
          <w:spacing w:val="-2"/>
          <w:sz w:val="27"/>
          <w:szCs w:val="27"/>
          <w:lang w:val="ru-RU"/>
        </w:rPr>
        <w:t>іб. для студентів юрид. фак. вищ. навч. закл. /  Грищук В.К. – К.: Ін Юре, 2006. – 568 с.</w:t>
      </w:r>
    </w:p>
    <w:p w:rsidR="003228EC" w:rsidRPr="003228EC" w:rsidRDefault="003228EC" w:rsidP="003228EC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1.13. Музика А.А., Лащук Є.В. Предмет злочину: теоретичні основи </w:t>
      </w:r>
      <w:proofErr w:type="gramStart"/>
      <w:r w:rsidRPr="003228EC">
        <w:rPr>
          <w:sz w:val="27"/>
          <w:szCs w:val="27"/>
          <w:lang w:val="ru-RU"/>
        </w:rPr>
        <w:t>п</w:t>
      </w:r>
      <w:proofErr w:type="gramEnd"/>
      <w:r w:rsidRPr="003228EC">
        <w:rPr>
          <w:sz w:val="27"/>
          <w:szCs w:val="27"/>
          <w:lang w:val="ru-RU"/>
        </w:rPr>
        <w:t>ізнання. – К.: ПАЛИВОДА А.В., 2011. – 192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8"/>
          <w:lang w:val="ru-RU"/>
        </w:rPr>
      </w:pPr>
      <w:r w:rsidRPr="003228EC">
        <w:rPr>
          <w:spacing w:val="-2"/>
          <w:sz w:val="27"/>
          <w:szCs w:val="28"/>
          <w:lang w:val="ru-RU"/>
        </w:rPr>
        <w:t xml:space="preserve">1.14. Навроцький В.О. Наступність кримінального законодавства України: порівняльний аналіз КК України 1960 р. та 2001 р. / Навроцький В.О. – К.: </w:t>
      </w:r>
      <w:proofErr w:type="gramStart"/>
      <w:r w:rsidRPr="003228EC">
        <w:rPr>
          <w:spacing w:val="-2"/>
          <w:sz w:val="27"/>
          <w:szCs w:val="28"/>
          <w:lang w:val="ru-RU"/>
        </w:rPr>
        <w:t>Атіка</w:t>
      </w:r>
      <w:proofErr w:type="gramEnd"/>
      <w:r w:rsidRPr="003228EC">
        <w:rPr>
          <w:spacing w:val="-2"/>
          <w:sz w:val="27"/>
          <w:szCs w:val="28"/>
          <w:lang w:val="ru-RU"/>
        </w:rPr>
        <w:t>, 2001. – 272 с.</w:t>
      </w:r>
    </w:p>
    <w:p w:rsidR="00002CC5" w:rsidRPr="003228EC" w:rsidRDefault="00002CC5" w:rsidP="00002CC5">
      <w:pPr>
        <w:jc w:val="both"/>
        <w:rPr>
          <w:sz w:val="28"/>
          <w:szCs w:val="28"/>
          <w:lang w:val="ru-RU"/>
        </w:rPr>
      </w:pPr>
    </w:p>
    <w:p w:rsidR="009A20D2" w:rsidRDefault="00A75B10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r w:rsidR="009A20D2">
        <w:rPr>
          <w:b/>
          <w:sz w:val="28"/>
          <w:szCs w:val="28"/>
          <w:lang w:val="uk-UA"/>
        </w:rPr>
        <w:t xml:space="preserve">для студентів </w:t>
      </w:r>
      <w:proofErr w:type="spellStart"/>
      <w:r w:rsidR="009A20D2">
        <w:rPr>
          <w:b/>
          <w:sz w:val="28"/>
          <w:szCs w:val="28"/>
          <w:lang w:val="uk-UA"/>
        </w:rPr>
        <w:t>ІЗДН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7797"/>
      </w:tblGrid>
      <w:tr w:rsidR="002C359E" w:rsidRPr="00634855" w:rsidTr="00484F7E">
        <w:tc>
          <w:tcPr>
            <w:tcW w:w="1559" w:type="dxa"/>
          </w:tcPr>
          <w:p w:rsidR="002C359E" w:rsidRPr="00634855" w:rsidRDefault="002C359E" w:rsidP="00484F7E">
            <w:pPr>
              <w:jc w:val="both"/>
            </w:pPr>
            <w:r w:rsidRPr="00634855">
              <w:t xml:space="preserve">№ </w:t>
            </w:r>
            <w:proofErr w:type="spellStart"/>
            <w:r w:rsidRPr="00634855">
              <w:t>варіанта</w:t>
            </w:r>
            <w:proofErr w:type="spellEnd"/>
          </w:p>
        </w:tc>
        <w:tc>
          <w:tcPr>
            <w:tcW w:w="7797" w:type="dxa"/>
          </w:tcPr>
          <w:p w:rsidR="002C359E" w:rsidRPr="00634855" w:rsidRDefault="002C359E" w:rsidP="00484F7E">
            <w:pPr>
              <w:jc w:val="center"/>
            </w:pP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</w:tr>
      <w:tr w:rsidR="002C359E" w:rsidRPr="001D7EFB" w:rsidTr="00484F7E">
        <w:tc>
          <w:tcPr>
            <w:tcW w:w="1559" w:type="dxa"/>
            <w:vAlign w:val="center"/>
          </w:tcPr>
          <w:p w:rsidR="002C359E" w:rsidRPr="001D7EFB" w:rsidRDefault="002C359E" w:rsidP="00484F7E">
            <w:pPr>
              <w:jc w:val="center"/>
              <w:rPr>
                <w:sz w:val="16"/>
                <w:szCs w:val="16"/>
              </w:rPr>
            </w:pPr>
            <w:r w:rsidRPr="001D7EFB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  <w:vAlign w:val="center"/>
          </w:tcPr>
          <w:p w:rsidR="002C359E" w:rsidRPr="001D7EFB" w:rsidRDefault="002C359E" w:rsidP="00484F7E">
            <w:pPr>
              <w:jc w:val="center"/>
              <w:rPr>
                <w:sz w:val="16"/>
                <w:szCs w:val="16"/>
              </w:rPr>
            </w:pPr>
            <w:r w:rsidRPr="001D7EFB">
              <w:rPr>
                <w:sz w:val="16"/>
                <w:szCs w:val="16"/>
              </w:rPr>
              <w:t>2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0.</w:t>
            </w:r>
          </w:p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Закон (ст. 115 КК) визначає вбивство як:</w:t>
            </w:r>
          </w:p>
          <w:p w:rsidR="00E168FB" w:rsidRPr="00935F94" w:rsidRDefault="00E168FB" w:rsidP="00E168F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умисне протиправне заподіяння смерті іншій людині;</w:t>
            </w:r>
          </w:p>
          <w:p w:rsidR="00E168FB" w:rsidRPr="00935F94" w:rsidRDefault="00E168FB" w:rsidP="00E168F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винне протиправне заподіяння смерті людині;</w:t>
            </w:r>
          </w:p>
          <w:p w:rsidR="002C359E" w:rsidRPr="00935F94" w:rsidRDefault="00E168FB" w:rsidP="00935F94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заподіяння смерті іншій людині при посяганні на її життя.</w:t>
            </w:r>
          </w:p>
        </w:tc>
      </w:tr>
      <w:tr w:rsidR="002C359E" w:rsidRPr="00935F94" w:rsidTr="00484F7E">
        <w:trPr>
          <w:trHeight w:val="547"/>
        </w:trPr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Ознакою тілесного ушкодження середньої тяжкості є: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значна стійка втрата працездатності менш ніж на одну третину;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заподіяння сильного фізичного болю шляхом нанесення побоїв, мучення чи іншими насильницькими діями;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втрата функцій будь-якого органу.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 xml:space="preserve">Погроза </w:t>
            </w:r>
            <w:proofErr w:type="gramStart"/>
            <w:r w:rsidRPr="00935F94">
              <w:rPr>
                <w:bCs/>
                <w:sz w:val="24"/>
                <w:szCs w:val="24"/>
                <w:lang w:val="uk-UA"/>
              </w:rPr>
              <w:t>вбивством</w:t>
            </w:r>
            <w:proofErr w:type="gramEnd"/>
            <w:r w:rsidRPr="00935F94">
              <w:rPr>
                <w:bCs/>
                <w:sz w:val="24"/>
                <w:szCs w:val="24"/>
                <w:lang w:val="uk-UA"/>
              </w:rPr>
              <w:t xml:space="preserve"> (ст.129 КК) є злочином з матеріальним складом: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вірно;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Б. невірно.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Умисне вбивство (ч.1 ст.115 КК) від тяжких тілесних ушкоджень, що потягли за собою смерть потерпілого (ч.2 ст. 121 КК) можна відмежувати: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за суб’єктом злочину;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за місцем вчинення злочину;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</w:rPr>
            </w:pPr>
            <w:r w:rsidRPr="00935F94">
              <w:rPr>
                <w:sz w:val="24"/>
                <w:szCs w:val="24"/>
                <w:lang w:val="uk-UA"/>
              </w:rPr>
              <w:t>В. за формою вини.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Незаконна лікувальна діяльність (ст.138 КК) має місце, якщо 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особа здійснила хоча б одну спробу незаконного лікування;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незаконне лікування мало місце відносно трьох або більше осіб;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це спричинило тяжкі наслідки для хворого.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З ревнощів, П. побив свою жінку. Це призвело до переривання трьохмісячної вагітності. Про те що жінка вагітна П. знав. Дії П. потрібно кваліфікувати як:</w:t>
            </w:r>
          </w:p>
          <w:p w:rsidR="00E168FB" w:rsidRPr="00935F94" w:rsidRDefault="00E168FB" w:rsidP="00E168F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тяжкі тілесні ушкодження (ч.1 ст.121 КК);</w:t>
            </w:r>
          </w:p>
          <w:p w:rsidR="00E168FB" w:rsidRPr="00935F94" w:rsidRDefault="00E168FB" w:rsidP="00E168F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середньої тяжкості тілесні ушкодження (ч.1 ст.122 КК);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легкі тілесні ушкодження, що спричинили короткочасний розлад здоров’я (ч.2 ст.125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Кваліфікуючою ознакою середньої тяжкості тілесного ушкодження є:</w:t>
            </w:r>
            <w:r w:rsidRPr="00935F94">
              <w:rPr>
                <w:sz w:val="24"/>
                <w:szCs w:val="24"/>
                <w:lang w:val="uk-UA"/>
              </w:rPr>
              <w:t xml:space="preserve"> 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заподіяння його повторно;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за попередньою змовою групою осіб;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lastRenderedPageBreak/>
              <w:t>В. з метою залякування потерпілого або його родичів чи примусу до певних дій.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lastRenderedPageBreak/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8.</w:t>
            </w:r>
            <w:r w:rsidRPr="00935F94">
              <w:rPr>
                <w:sz w:val="24"/>
                <w:szCs w:val="24"/>
                <w:lang w:val="uk-UA"/>
              </w:rPr>
              <w:t xml:space="preserve"> </w:t>
            </w:r>
            <w:r w:rsidRPr="00935F94">
              <w:rPr>
                <w:bCs/>
                <w:sz w:val="24"/>
                <w:szCs w:val="24"/>
                <w:lang w:val="uk-UA"/>
              </w:rPr>
              <w:t>Дії виконавця злочину, який за грошову винагороду вчинив умисне вбивство на замовлення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умисне вбивство з корисливих мотивів (п.6 ч.2 ст.115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умисне вбивство вчинене на замовлення (п.11 ч.2 ст.115 КК);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умисне вбивство з корисливих мотивів вчинене на замовлення (</w:t>
            </w:r>
            <w:proofErr w:type="spellStart"/>
            <w:r w:rsidRPr="00935F94">
              <w:rPr>
                <w:sz w:val="24"/>
                <w:szCs w:val="24"/>
                <w:lang w:val="uk-UA"/>
              </w:rPr>
              <w:t>п.п</w:t>
            </w:r>
            <w:proofErr w:type="spellEnd"/>
            <w:r w:rsidRPr="00935F94">
              <w:rPr>
                <w:sz w:val="24"/>
                <w:szCs w:val="24"/>
                <w:lang w:val="uk-UA"/>
              </w:rPr>
              <w:t>. 6,11 ч.2 ст.115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Під час сварки П. наніс ножове поранення Ш., що призвело до порушення цілісності черевної стінки без пошкодження внутрішніх органів, але з небезпекою їх інфікування. Поранення потягло розлад здоров’я протягом 5 днів. Дії П. кваліфікуються як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середньої тяжкості тілесні ушкодження (ч.1 ст.122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тяжке тілесне ушкодження (ч.1 ст.121 КК);</w:t>
            </w:r>
          </w:p>
          <w:p w:rsidR="002C359E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замах на тяжке тілесне ушкодження (ч.1 ст.15 КК, ч.1 ст.121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М. запросив до себе додому 19-річну дівчину Щ. і погрожуючи фізичною розправою вступив з нею в статеві стосунки. Щоб сусіди не чули криків на допомогу він заткнув дівчині рота кляпом. Внаслідок асфіксії Щ. померла. Дії М.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умисне вбивство поєднане із зґвалтуванням (п.10 ч.2 ст.115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зґвалтування, що спричинило особливо тяжкі наслідки (ч.4 ст.152 КК);</w:t>
            </w:r>
          </w:p>
          <w:p w:rsidR="002C359E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зґвалтування, що спричинило особливо тяжкі наслідки та вбивство з необережності (ч.4 ст.152 КК, ч.1 ст.119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 xml:space="preserve">Непричетний до аварії Т. не надав </w:t>
            </w:r>
            <w:proofErr w:type="gramStart"/>
            <w:r w:rsidRPr="00935F94">
              <w:rPr>
                <w:bCs/>
                <w:sz w:val="24"/>
                <w:szCs w:val="24"/>
                <w:lang w:val="uk-UA"/>
              </w:rPr>
              <w:t>допомогу</w:t>
            </w:r>
            <w:proofErr w:type="gramEnd"/>
            <w:r w:rsidRPr="00935F94">
              <w:rPr>
                <w:bCs/>
                <w:sz w:val="24"/>
                <w:szCs w:val="24"/>
                <w:lang w:val="uk-UA"/>
              </w:rPr>
              <w:t xml:space="preserve"> потерпілому в ДТП, яке вночі виявив на дорозі, і не повідомив про нього нікому. Через несвоєчасність надання медичної допомоги потерпілий помер. Т. мав можливість, або доставити його до лікарні, або повідомити про аварію. Дії Т.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залишення в небезпеці, якщо це спричинило смерть особи (ч.3 ст.135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ненадання допомоги особі, яка перебуває в небезпечному для життя стані, якщо це спричинило смерть потерпілого (ч.3 ст.136 КК);</w:t>
            </w:r>
          </w:p>
          <w:p w:rsidR="002C359E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В. вбивство через необережність (ч.1 ст.119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Інструктор з плавання Р. вийшов з басейну під час занять, бо його викликав директор  спорткомплексу. Діти, які були на занятті почали стрибати з трампліна і один з них потонув. Дії Р.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необережне вбивство (ч.1 ст.119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неналежне виконання обов’язків щодо охорони життя та здоров’я дітей, що спричинило смерть неповнолітнього (ч. 2 ст.137 КК);</w:t>
            </w:r>
          </w:p>
          <w:p w:rsidR="002C359E" w:rsidRPr="00935F94" w:rsidRDefault="00E168FB" w:rsidP="00E168FB">
            <w:pPr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В. кримінальна  відповідальність виключається бо мало місце виконання наказу (ч.1 ст.41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 xml:space="preserve">Медсестри Ч. та Р. під час взяття крові у донорів, вилучали кров у великій кількості. Надлишок вони потім оформили як здану від вигаданих осіб, а гроші забирали собі. Дії вказаних осіб слід кваліфікувати як: 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насильницьке донорство (ст. 144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порушення прав пацієнтів (ст. 141 КК);</w:t>
            </w:r>
          </w:p>
          <w:p w:rsidR="002C359E" w:rsidRPr="00935F94" w:rsidRDefault="00E168FB" w:rsidP="00935F94">
            <w:pPr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В. шахрайство (ст. 190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13.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napToGrid w:val="0"/>
                <w:sz w:val="24"/>
                <w:szCs w:val="24"/>
                <w:lang w:val="uk-UA"/>
              </w:rPr>
            </w:pPr>
            <w:r w:rsidRPr="00935F94">
              <w:rPr>
                <w:bCs/>
                <w:snapToGrid w:val="0"/>
                <w:sz w:val="24"/>
                <w:szCs w:val="24"/>
                <w:lang w:val="uk-UA"/>
              </w:rPr>
              <w:t xml:space="preserve">В. викрав неповнолітнього П., якого закрив на горищі. Неповнолітній П. не витримавши психологічної напруги покінчив життя самогубством. Дії В. потрібно кваліфікувати як: 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935F94">
              <w:rPr>
                <w:snapToGrid w:val="0"/>
                <w:sz w:val="24"/>
                <w:szCs w:val="24"/>
                <w:lang w:val="uk-UA"/>
              </w:rPr>
              <w:lastRenderedPageBreak/>
              <w:t>А. викрадення людини (ч.2 ст.146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935F94">
              <w:rPr>
                <w:snapToGrid w:val="0"/>
                <w:sz w:val="24"/>
                <w:szCs w:val="24"/>
                <w:lang w:val="uk-UA"/>
              </w:rPr>
              <w:t>Б. викрадення людини, що спричинило тяжкі наслідки (ч.3 ст.146 КК);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napToGrid w:val="0"/>
                <w:sz w:val="24"/>
                <w:szCs w:val="24"/>
                <w:lang w:val="uk-UA"/>
              </w:rPr>
              <w:t>В. доведення до самогубства (ч.3 ст.120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lastRenderedPageBreak/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Види умисних вбивств: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прості, ускладнені, складні;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умисні, необережні, змішані;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 обтяжуючими обставинами, з пом’якшуючими обставинами та без таких обставин;</w:t>
            </w:r>
          </w:p>
          <w:p w:rsidR="002C359E" w:rsidRPr="00935F94" w:rsidRDefault="00E168FB" w:rsidP="00935F94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прості, з обтяжуючими обставинами та з особливо обтяжуючими обставинами; 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15.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Обставина, що обтяжує відповідальність при умисному вбивстві: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вбивство з ревнощів;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вбивство з помсти;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вбивство під час бійки;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вбивство в стані сильного душевного хвилювання; </w:t>
            </w:r>
          </w:p>
          <w:p w:rsidR="002C359E" w:rsidRPr="00935F94" w:rsidRDefault="00E168FB" w:rsidP="00935F94">
            <w:pPr>
              <w:ind w:left="708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Д. вбивство на замовлення. 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16.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Вбивство однієї людини і замах на життя іншої кваліфікується як вбивство двох або більше осіб: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так, бо мало посягання на двох потерпілих;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так, бо мало місце два діяння;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залежить від послідовності діянь;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ні, бо це злочин з матеріальним складом; </w:t>
            </w:r>
          </w:p>
          <w:p w:rsidR="002C359E" w:rsidRPr="00935F94" w:rsidRDefault="00E168FB" w:rsidP="00935F94">
            <w:pPr>
              <w:pStyle w:val="a3"/>
              <w:tabs>
                <w:tab w:val="left" w:pos="650"/>
              </w:tabs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Д. ні, бо це злочин з формальним складом.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Умисне вбивство кваліфікується як вчинене з корисливих  мотивів: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вбивство спрямоване на отримання будь-якої матеріальної вигоди;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вбивство вчинене з метою позбутися матеріальних витрат;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вбивство за винагороду;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Г. вбивство вчинене з метою отримати більш високу посаду;</w:t>
            </w:r>
          </w:p>
          <w:p w:rsidR="002C359E" w:rsidRPr="00935F94" w:rsidRDefault="00E168FB" w:rsidP="00E168FB">
            <w:pPr>
              <w:pStyle w:val="21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ru-RU"/>
              </w:rPr>
              <w:t xml:space="preserve">         </w:t>
            </w:r>
            <w:r w:rsidRPr="00935F94">
              <w:rPr>
                <w:sz w:val="24"/>
                <w:szCs w:val="24"/>
                <w:lang w:val="uk-UA"/>
              </w:rPr>
              <w:t>Д. в усіх вищевказаних випадках.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18.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Суб’єктом умисного вбивства є: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фізична осудна особа з 14-річного віку;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фізична осудна особа з 14-річного віку (за винятком ст. 117 КК);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фізична осудна особа з 14-річного віку (за винятком ст. 118 КК);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фізична осудна особа з 16-річного віку; </w:t>
            </w:r>
          </w:p>
          <w:p w:rsidR="002C359E" w:rsidRPr="00935F94" w:rsidRDefault="00E168FB" w:rsidP="00935F94">
            <w:pPr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Д. фізична осудна особа з 18-річного віку.</w:t>
            </w:r>
          </w:p>
        </w:tc>
      </w:tr>
    </w:tbl>
    <w:p w:rsidR="002C359E" w:rsidRPr="00935F94" w:rsidRDefault="002C359E" w:rsidP="002C359E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sz w:val="24"/>
          <w:szCs w:val="24"/>
          <w:lang w:val="ru-RU"/>
        </w:rPr>
      </w:pPr>
      <w:bookmarkStart w:id="0" w:name="_GoBack"/>
      <w:bookmarkEnd w:id="0"/>
    </w:p>
    <w:sectPr w:rsidR="002C359E" w:rsidRPr="00935F94" w:rsidSect="00F0211E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1E3"/>
    <w:rsid w:val="00002CC5"/>
    <w:rsid w:val="000C227F"/>
    <w:rsid w:val="0013122F"/>
    <w:rsid w:val="002C359E"/>
    <w:rsid w:val="003228EC"/>
    <w:rsid w:val="00345CBE"/>
    <w:rsid w:val="0043511A"/>
    <w:rsid w:val="00500F24"/>
    <w:rsid w:val="00610239"/>
    <w:rsid w:val="00690C5B"/>
    <w:rsid w:val="007D26F1"/>
    <w:rsid w:val="008F2D22"/>
    <w:rsid w:val="00935F94"/>
    <w:rsid w:val="00984951"/>
    <w:rsid w:val="00992841"/>
    <w:rsid w:val="009A20D2"/>
    <w:rsid w:val="00A75B10"/>
    <w:rsid w:val="00A95018"/>
    <w:rsid w:val="00AA3089"/>
    <w:rsid w:val="00B44623"/>
    <w:rsid w:val="00BC0C29"/>
    <w:rsid w:val="00BF2CD1"/>
    <w:rsid w:val="00C656B7"/>
    <w:rsid w:val="00CE3A17"/>
    <w:rsid w:val="00DB0649"/>
    <w:rsid w:val="00E168FB"/>
    <w:rsid w:val="00E82D7B"/>
    <w:rsid w:val="00ED393F"/>
    <w:rsid w:val="00F0211E"/>
    <w:rsid w:val="00F801E3"/>
    <w:rsid w:val="00FB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2">
    <w:name w:val="Абзац списку1"/>
    <w:basedOn w:val="a"/>
    <w:qFormat/>
    <w:rsid w:val="003228EC"/>
    <w:pPr>
      <w:widowControl/>
      <w:spacing w:line="360" w:lineRule="auto"/>
      <w:ind w:left="720"/>
      <w:jc w:val="both"/>
    </w:pPr>
    <w:rPr>
      <w:rFonts w:ascii="Calibri" w:hAnsi="Calibri" w:cs="Calibri"/>
      <w:lang w:val="ru-RU"/>
    </w:rPr>
  </w:style>
  <w:style w:type="paragraph" w:styleId="21">
    <w:name w:val="Body Text 2"/>
    <w:basedOn w:val="a"/>
    <w:link w:val="22"/>
    <w:uiPriority w:val="99"/>
    <w:unhideWhenUsed/>
    <w:rsid w:val="002C3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359E"/>
    <w:rPr>
      <w:rFonts w:ascii="Times New Roman" w:eastAsia="Times New Roman" w:hAnsi="Times New Roman" w:cs="Times New Roman"/>
      <w:lang w:val="en-US"/>
    </w:rPr>
  </w:style>
  <w:style w:type="character" w:customStyle="1" w:styleId="23">
    <w:name w:val="Основной текст (2)_"/>
    <w:link w:val="24"/>
    <w:rsid w:val="002C359E"/>
    <w:rPr>
      <w:b/>
      <w:bCs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359E"/>
    <w:pPr>
      <w:widowControl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1">
    <w:name w:val="Абзац списку1"/>
    <w:basedOn w:val="a"/>
    <w:qFormat/>
    <w:rsid w:val="003228EC"/>
    <w:pPr>
      <w:widowControl/>
      <w:spacing w:line="360" w:lineRule="auto"/>
      <w:ind w:left="720"/>
      <w:jc w:val="both"/>
    </w:pPr>
    <w:rPr>
      <w:rFonts w:ascii="Calibri" w:hAnsi="Calibri" w:cs="Calibri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2C359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2C359E"/>
    <w:rPr>
      <w:rFonts w:ascii="Times New Roman" w:eastAsia="Times New Roman" w:hAnsi="Times New Roman" w:cs="Times New Roman"/>
      <w:lang w:val="en-US"/>
    </w:rPr>
  </w:style>
  <w:style w:type="character" w:customStyle="1" w:styleId="23">
    <w:name w:val="Основной текст (2)_"/>
    <w:link w:val="24"/>
    <w:rsid w:val="002C359E"/>
    <w:rPr>
      <w:b/>
      <w:bCs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359E"/>
    <w:pPr>
      <w:widowControl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i/>
      <w:i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2546</Words>
  <Characters>14514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5</cp:revision>
  <dcterms:created xsi:type="dcterms:W3CDTF">2018-02-07T09:51:00Z</dcterms:created>
  <dcterms:modified xsi:type="dcterms:W3CDTF">2018-03-20T19:23:00Z</dcterms:modified>
</cp:coreProperties>
</file>