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7F" w:rsidRDefault="0091727F" w:rsidP="00830955">
      <w:pPr>
        <w:pStyle w:val="ListParagraph"/>
        <w:ind w:left="360"/>
        <w:jc w:val="center"/>
        <w:rPr>
          <w:b/>
        </w:rPr>
      </w:pPr>
    </w:p>
    <w:p w:rsidR="0091727F" w:rsidRPr="00ED7B19" w:rsidRDefault="0091727F" w:rsidP="00830955">
      <w:pPr>
        <w:jc w:val="center"/>
        <w:rPr>
          <w:b/>
          <w:sz w:val="28"/>
          <w:szCs w:val="28"/>
        </w:rPr>
      </w:pPr>
      <w:r w:rsidRPr="00ED7B19">
        <w:rPr>
          <w:b/>
          <w:sz w:val="28"/>
          <w:szCs w:val="28"/>
        </w:rPr>
        <w:t>МІНІСТЕРСТВО ОСВІТИ І НАУКИ УКРАЇНИ</w:t>
      </w:r>
    </w:p>
    <w:p w:rsidR="0091727F" w:rsidRPr="00ED7B19" w:rsidRDefault="0091727F" w:rsidP="00830955">
      <w:pPr>
        <w:jc w:val="center"/>
        <w:rPr>
          <w:b/>
          <w:sz w:val="28"/>
          <w:szCs w:val="28"/>
        </w:rPr>
      </w:pPr>
      <w:r w:rsidRPr="00ED7B19">
        <w:rPr>
          <w:b/>
          <w:sz w:val="28"/>
          <w:szCs w:val="28"/>
        </w:rPr>
        <w:t>Національний авіаційний університет</w:t>
      </w:r>
    </w:p>
    <w:p w:rsidR="0091727F" w:rsidRPr="00ED7B19" w:rsidRDefault="0091727F" w:rsidP="00830955">
      <w:pPr>
        <w:jc w:val="center"/>
        <w:rPr>
          <w:b/>
          <w:sz w:val="28"/>
          <w:szCs w:val="28"/>
        </w:rPr>
      </w:pPr>
      <w:r w:rsidRPr="00ED7B19">
        <w:rPr>
          <w:b/>
          <w:sz w:val="28"/>
          <w:szCs w:val="28"/>
        </w:rPr>
        <w:t>Навчально-науковий Юридичний інститут</w:t>
      </w:r>
    </w:p>
    <w:p w:rsidR="0091727F" w:rsidRPr="00ED7B19" w:rsidRDefault="0091727F" w:rsidP="00830955">
      <w:pPr>
        <w:jc w:val="center"/>
        <w:rPr>
          <w:b/>
          <w:sz w:val="28"/>
          <w:szCs w:val="28"/>
        </w:rPr>
      </w:pPr>
      <w:r w:rsidRPr="00ED7B19">
        <w:rPr>
          <w:b/>
          <w:sz w:val="28"/>
          <w:szCs w:val="28"/>
        </w:rPr>
        <w:t>Кафедра цивільного права і процесу</w:t>
      </w:r>
    </w:p>
    <w:p w:rsidR="0091727F" w:rsidRPr="00ED7B19" w:rsidRDefault="0091727F" w:rsidP="00830955">
      <w:pPr>
        <w:ind w:firstLine="301"/>
        <w:jc w:val="center"/>
        <w:rPr>
          <w:b/>
          <w:sz w:val="28"/>
          <w:szCs w:val="28"/>
        </w:rPr>
      </w:pPr>
    </w:p>
    <w:p w:rsidR="0091727F" w:rsidRPr="00ED7B19" w:rsidRDefault="0091727F" w:rsidP="00830955">
      <w:pPr>
        <w:ind w:firstLine="301"/>
        <w:jc w:val="center"/>
        <w:rPr>
          <w:sz w:val="28"/>
          <w:szCs w:val="28"/>
        </w:rPr>
      </w:pPr>
    </w:p>
    <w:p w:rsidR="0091727F" w:rsidRPr="00ED7B19" w:rsidRDefault="0091727F" w:rsidP="00830955">
      <w:pPr>
        <w:ind w:firstLine="301"/>
        <w:jc w:val="center"/>
        <w:rPr>
          <w:sz w:val="28"/>
          <w:szCs w:val="28"/>
        </w:rPr>
      </w:pPr>
    </w:p>
    <w:p w:rsidR="0091727F" w:rsidRPr="00ED7B19" w:rsidRDefault="0091727F" w:rsidP="00830955">
      <w:pPr>
        <w:ind w:firstLine="301"/>
        <w:jc w:val="center"/>
        <w:rPr>
          <w:sz w:val="28"/>
          <w:szCs w:val="28"/>
        </w:rPr>
      </w:pPr>
    </w:p>
    <w:p w:rsidR="0091727F" w:rsidRPr="00ED7B19" w:rsidRDefault="0091727F" w:rsidP="00830955">
      <w:pPr>
        <w:ind w:firstLine="301"/>
        <w:jc w:val="center"/>
        <w:rPr>
          <w:sz w:val="28"/>
          <w:szCs w:val="28"/>
        </w:rPr>
      </w:pPr>
    </w:p>
    <w:p w:rsidR="0091727F" w:rsidRPr="00ED7B19" w:rsidRDefault="0091727F" w:rsidP="00830955">
      <w:pPr>
        <w:ind w:firstLine="301"/>
        <w:jc w:val="center"/>
        <w:rPr>
          <w:sz w:val="28"/>
          <w:szCs w:val="28"/>
        </w:rPr>
      </w:pPr>
    </w:p>
    <w:p w:rsidR="0091727F" w:rsidRDefault="0091727F" w:rsidP="00830955">
      <w:pPr>
        <w:ind w:firstLine="301"/>
        <w:jc w:val="center"/>
        <w:rPr>
          <w:bCs/>
          <w:sz w:val="28"/>
          <w:szCs w:val="28"/>
        </w:rPr>
      </w:pPr>
    </w:p>
    <w:p w:rsidR="0091727F"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
          <w:bCs/>
          <w:caps/>
          <w:sz w:val="28"/>
          <w:szCs w:val="28"/>
        </w:rPr>
      </w:pPr>
      <w:r>
        <w:rPr>
          <w:b/>
          <w:bCs/>
          <w:caps/>
          <w:sz w:val="28"/>
          <w:szCs w:val="28"/>
        </w:rPr>
        <w:t>Сімейне право</w:t>
      </w:r>
    </w:p>
    <w:p w:rsidR="0091727F"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r w:rsidRPr="00ED7B19">
        <w:rPr>
          <w:bCs/>
          <w:sz w:val="28"/>
          <w:szCs w:val="28"/>
        </w:rPr>
        <w:t xml:space="preserve">Методичні рекомендації з виконання контрольних робіт </w:t>
      </w:r>
    </w:p>
    <w:p w:rsidR="0091727F" w:rsidRPr="00ED7B19" w:rsidRDefault="0091727F" w:rsidP="00830955">
      <w:pPr>
        <w:ind w:firstLine="301"/>
        <w:jc w:val="center"/>
        <w:rPr>
          <w:bCs/>
          <w:sz w:val="28"/>
          <w:szCs w:val="28"/>
        </w:rPr>
      </w:pPr>
      <w:r w:rsidRPr="00ED7B19">
        <w:rPr>
          <w:bCs/>
          <w:sz w:val="28"/>
          <w:szCs w:val="28"/>
        </w:rPr>
        <w:t>для студентів заочної форми навчання</w:t>
      </w: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Cs/>
          <w:sz w:val="28"/>
          <w:szCs w:val="28"/>
          <w:lang w:val="ru-RU"/>
        </w:rPr>
      </w:pPr>
    </w:p>
    <w:p w:rsidR="0091727F" w:rsidRPr="00ED7B19" w:rsidRDefault="0091727F" w:rsidP="00830955">
      <w:pPr>
        <w:ind w:firstLine="301"/>
        <w:jc w:val="center"/>
        <w:rPr>
          <w:bCs/>
          <w:sz w:val="28"/>
          <w:szCs w:val="28"/>
          <w:lang w:val="ru-RU"/>
        </w:rPr>
      </w:pPr>
    </w:p>
    <w:p w:rsidR="0091727F" w:rsidRPr="00ED7B19" w:rsidRDefault="0091727F" w:rsidP="00830955">
      <w:pPr>
        <w:ind w:firstLine="301"/>
        <w:jc w:val="center"/>
        <w:rPr>
          <w:bCs/>
          <w:sz w:val="28"/>
          <w:szCs w:val="28"/>
          <w:lang w:val="ru-RU"/>
        </w:rPr>
      </w:pP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p>
    <w:p w:rsidR="0091727F" w:rsidRPr="00ED7B19" w:rsidRDefault="0091727F" w:rsidP="00830955">
      <w:pPr>
        <w:ind w:firstLine="301"/>
        <w:jc w:val="center"/>
        <w:rPr>
          <w:bCs/>
          <w:sz w:val="28"/>
          <w:szCs w:val="28"/>
        </w:rPr>
      </w:pPr>
    </w:p>
    <w:p w:rsidR="0091727F" w:rsidRPr="00ED7B19" w:rsidRDefault="0091727F" w:rsidP="00830955">
      <w:pPr>
        <w:jc w:val="center"/>
        <w:rPr>
          <w:bCs/>
          <w:sz w:val="28"/>
          <w:szCs w:val="28"/>
          <w:lang w:val="ru-RU"/>
        </w:rPr>
      </w:pPr>
    </w:p>
    <w:p w:rsidR="0091727F" w:rsidRPr="00ED7B19" w:rsidRDefault="0091727F" w:rsidP="00830955">
      <w:pPr>
        <w:jc w:val="center"/>
        <w:rPr>
          <w:bCs/>
          <w:sz w:val="28"/>
          <w:szCs w:val="28"/>
          <w:lang w:val="ru-RU"/>
        </w:rPr>
      </w:pPr>
    </w:p>
    <w:p w:rsidR="0091727F" w:rsidRPr="00ED7B19" w:rsidRDefault="0091727F" w:rsidP="00830955">
      <w:pPr>
        <w:jc w:val="center"/>
        <w:rPr>
          <w:bCs/>
          <w:sz w:val="28"/>
          <w:szCs w:val="28"/>
          <w:lang w:val="ru-RU"/>
        </w:rPr>
      </w:pPr>
    </w:p>
    <w:p w:rsidR="0091727F" w:rsidRPr="00ED7B19" w:rsidRDefault="0091727F" w:rsidP="00830955">
      <w:pPr>
        <w:jc w:val="center"/>
        <w:rPr>
          <w:bCs/>
          <w:sz w:val="28"/>
          <w:szCs w:val="28"/>
          <w:lang w:val="ru-RU"/>
        </w:rPr>
      </w:pPr>
    </w:p>
    <w:p w:rsidR="0091727F" w:rsidRPr="00ED7B19" w:rsidRDefault="0091727F" w:rsidP="00830955">
      <w:pPr>
        <w:jc w:val="center"/>
        <w:rPr>
          <w:bCs/>
          <w:sz w:val="28"/>
          <w:szCs w:val="28"/>
          <w:lang w:val="ru-RU"/>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Default="0091727F" w:rsidP="00830955">
      <w:pPr>
        <w:jc w:val="center"/>
        <w:rPr>
          <w:bCs/>
          <w:sz w:val="28"/>
          <w:szCs w:val="28"/>
        </w:rPr>
      </w:pPr>
    </w:p>
    <w:p w:rsidR="0091727F" w:rsidRPr="00ED7B19" w:rsidRDefault="0091727F" w:rsidP="00830955">
      <w:pPr>
        <w:jc w:val="center"/>
        <w:rPr>
          <w:bCs/>
          <w:sz w:val="28"/>
          <w:szCs w:val="28"/>
        </w:rPr>
      </w:pPr>
    </w:p>
    <w:p w:rsidR="0091727F" w:rsidRPr="00C721BD" w:rsidRDefault="0091727F" w:rsidP="00830955">
      <w:pPr>
        <w:ind w:firstLine="301"/>
        <w:jc w:val="center"/>
        <w:rPr>
          <w:sz w:val="28"/>
          <w:szCs w:val="28"/>
          <w:lang w:val="en-US"/>
        </w:rPr>
      </w:pPr>
      <w:r>
        <w:rPr>
          <w:sz w:val="28"/>
          <w:szCs w:val="28"/>
        </w:rPr>
        <w:t>КИЇВ – 201</w:t>
      </w:r>
      <w:r>
        <w:rPr>
          <w:sz w:val="28"/>
          <w:szCs w:val="28"/>
          <w:lang w:val="en-US"/>
        </w:rPr>
        <w:t>8</w:t>
      </w:r>
    </w:p>
    <w:p w:rsidR="0091727F" w:rsidRDefault="0091727F" w:rsidP="00830955">
      <w:pPr>
        <w:pStyle w:val="ListParagraph"/>
        <w:ind w:left="360"/>
        <w:jc w:val="center"/>
        <w:rPr>
          <w:b/>
        </w:rPr>
      </w:pPr>
    </w:p>
    <w:p w:rsidR="0091727F" w:rsidRDefault="0091727F" w:rsidP="00830955">
      <w:pPr>
        <w:pStyle w:val="ListParagraph"/>
        <w:ind w:left="360"/>
        <w:jc w:val="center"/>
        <w:rPr>
          <w:b/>
        </w:rPr>
      </w:pPr>
    </w:p>
    <w:p w:rsidR="0091727F" w:rsidRPr="00E54999" w:rsidRDefault="0091727F" w:rsidP="00830955">
      <w:pPr>
        <w:pStyle w:val="ListParagraph"/>
        <w:ind w:left="360"/>
        <w:jc w:val="center"/>
        <w:rPr>
          <w:b/>
        </w:rPr>
      </w:pPr>
      <w:r w:rsidRPr="00E54999">
        <w:rPr>
          <w:b/>
        </w:rPr>
        <w:t>2. ЗАВДАННЯ НА КОНТРОЛЬНУ РОБОТУ</w:t>
      </w:r>
    </w:p>
    <w:p w:rsidR="0091727F" w:rsidRPr="00E54999" w:rsidRDefault="0091727F" w:rsidP="00830955">
      <w:pPr>
        <w:pStyle w:val="ListParagraph"/>
        <w:ind w:left="360"/>
        <w:jc w:val="center"/>
        <w:rPr>
          <w:b/>
        </w:rPr>
      </w:pPr>
    </w:p>
    <w:p w:rsidR="0091727F" w:rsidRPr="00E54999" w:rsidRDefault="0091727F" w:rsidP="00830955">
      <w:pPr>
        <w:pStyle w:val="ListParagraph"/>
        <w:ind w:left="0" w:firstLine="567"/>
        <w:jc w:val="both"/>
      </w:pPr>
      <w:r w:rsidRPr="00E54999">
        <w:t>2.1. Контрольна робота</w:t>
      </w:r>
    </w:p>
    <w:p w:rsidR="0091727F" w:rsidRPr="00E54999" w:rsidRDefault="0091727F" w:rsidP="00830955">
      <w:pPr>
        <w:pStyle w:val="ListParagraph"/>
        <w:ind w:left="0" w:firstLine="567"/>
        <w:jc w:val="both"/>
      </w:pPr>
    </w:p>
    <w:p w:rsidR="0091727F" w:rsidRPr="00E54999" w:rsidRDefault="0091727F" w:rsidP="00830955">
      <w:pPr>
        <w:pStyle w:val="ListParagraph"/>
        <w:ind w:left="0" w:firstLine="567"/>
        <w:jc w:val="both"/>
      </w:pPr>
      <w:r w:rsidRPr="00E54999">
        <w:t>Виконання домашньої контрольної роботи є однією з форм самостійної роботи студента. Домашня контрольна робота складається з двох частин. Перша – теоретична. Друга частина контрольної роботи – практична.</w:t>
      </w:r>
    </w:p>
    <w:p w:rsidR="0091727F" w:rsidRPr="00E54999" w:rsidRDefault="0091727F" w:rsidP="00830955">
      <w:pPr>
        <w:pStyle w:val="ListParagraph"/>
        <w:ind w:left="0" w:firstLine="567"/>
        <w:jc w:val="both"/>
      </w:pPr>
      <w:r w:rsidRPr="00E54999">
        <w:rPr>
          <w:i/>
          <w:u w:val="single"/>
        </w:rPr>
        <w:t>Теоретична частина.</w:t>
      </w:r>
      <w:r w:rsidRPr="00E54999">
        <w:t xml:space="preserve"> Теоретична частина складається з двох теоретичних питань. Відповідний варіант теоретичної частини студент обирає шляхом сумування двох останніх цифр номер залікової книжки.</w:t>
      </w:r>
    </w:p>
    <w:p w:rsidR="0091727F" w:rsidRPr="00E54999" w:rsidRDefault="0091727F" w:rsidP="00830955">
      <w:pPr>
        <w:pStyle w:val="ListParagraph"/>
        <w:ind w:left="0" w:firstLine="567"/>
        <w:jc w:val="both"/>
      </w:pPr>
      <w:r w:rsidRPr="00E54999">
        <w:t>Наприклад. Номер залікової книжки 1004585. Відповідно, студент обирає варіант № 13 (8+5).</w:t>
      </w:r>
    </w:p>
    <w:p w:rsidR="0091727F" w:rsidRPr="00E54999" w:rsidRDefault="0091727F" w:rsidP="00830955">
      <w:pPr>
        <w:pStyle w:val="ListParagraph"/>
        <w:ind w:left="0" w:firstLine="567"/>
        <w:jc w:val="both"/>
      </w:pPr>
      <w:r w:rsidRPr="00E54999">
        <w:rPr>
          <w:i/>
          <w:u w:val="single"/>
        </w:rPr>
        <w:t>Практична частина.</w:t>
      </w:r>
      <w:r w:rsidRPr="00E54999">
        <w:t xml:space="preserve"> Практична частина складається з одного практичного завдання. Відповідний варіант студент обирає за наступною схемою: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7"/>
        <w:gridCol w:w="4758"/>
      </w:tblGrid>
      <w:tr w:rsidR="0091727F" w:rsidRPr="00E54999" w:rsidTr="00595E57">
        <w:tc>
          <w:tcPr>
            <w:tcW w:w="4942" w:type="dxa"/>
          </w:tcPr>
          <w:p w:rsidR="0091727F" w:rsidRPr="00E54999" w:rsidRDefault="0091727F" w:rsidP="00595E57">
            <w:pPr>
              <w:pStyle w:val="ListParagraph"/>
              <w:ind w:left="0"/>
              <w:jc w:val="both"/>
            </w:pPr>
            <w:r w:rsidRPr="00E54999">
              <w:t>Студенти, прізвища яких починаються з літер «А» - «В»</w:t>
            </w:r>
          </w:p>
        </w:tc>
        <w:tc>
          <w:tcPr>
            <w:tcW w:w="4913" w:type="dxa"/>
          </w:tcPr>
          <w:p w:rsidR="0091727F" w:rsidRPr="00E54999" w:rsidRDefault="0091727F" w:rsidP="00595E57">
            <w:pPr>
              <w:pStyle w:val="ListParagraph"/>
              <w:ind w:left="0"/>
              <w:jc w:val="center"/>
            </w:pPr>
            <w:r w:rsidRPr="00E54999">
              <w:t>Варіант 1.</w:t>
            </w:r>
          </w:p>
        </w:tc>
      </w:tr>
      <w:tr w:rsidR="0091727F" w:rsidRPr="00E54999" w:rsidTr="00595E57">
        <w:tc>
          <w:tcPr>
            <w:tcW w:w="4942" w:type="dxa"/>
          </w:tcPr>
          <w:p w:rsidR="0091727F" w:rsidRPr="00E54999" w:rsidRDefault="0091727F" w:rsidP="00595E57">
            <w:pPr>
              <w:pStyle w:val="ListParagraph"/>
              <w:ind w:left="0"/>
              <w:jc w:val="both"/>
            </w:pPr>
            <w:r w:rsidRPr="00E54999">
              <w:t>Студенти, прізвища яких починаються з літер «Г» - «К»</w:t>
            </w:r>
          </w:p>
        </w:tc>
        <w:tc>
          <w:tcPr>
            <w:tcW w:w="4913" w:type="dxa"/>
          </w:tcPr>
          <w:p w:rsidR="0091727F" w:rsidRPr="00E54999" w:rsidRDefault="0091727F" w:rsidP="00595E57">
            <w:pPr>
              <w:jc w:val="center"/>
            </w:pPr>
            <w:r w:rsidRPr="00E54999">
              <w:t>Варіант 2.</w:t>
            </w:r>
          </w:p>
        </w:tc>
      </w:tr>
      <w:tr w:rsidR="0091727F" w:rsidRPr="00E54999" w:rsidTr="00595E57">
        <w:tc>
          <w:tcPr>
            <w:tcW w:w="4942" w:type="dxa"/>
          </w:tcPr>
          <w:p w:rsidR="0091727F" w:rsidRPr="00E54999" w:rsidRDefault="0091727F" w:rsidP="00595E57">
            <w:pPr>
              <w:pStyle w:val="ListParagraph"/>
              <w:ind w:left="0"/>
              <w:jc w:val="both"/>
            </w:pPr>
            <w:r w:rsidRPr="00E54999">
              <w:t>Студенти, прізвища яких починаються з літер «Л» - «Н»</w:t>
            </w:r>
          </w:p>
        </w:tc>
        <w:tc>
          <w:tcPr>
            <w:tcW w:w="4913" w:type="dxa"/>
          </w:tcPr>
          <w:p w:rsidR="0091727F" w:rsidRPr="00E54999" w:rsidRDefault="0091727F" w:rsidP="00595E57">
            <w:pPr>
              <w:jc w:val="center"/>
            </w:pPr>
            <w:r w:rsidRPr="00E54999">
              <w:t>Варіант 3.</w:t>
            </w:r>
          </w:p>
        </w:tc>
      </w:tr>
      <w:tr w:rsidR="0091727F" w:rsidRPr="00E54999" w:rsidTr="00595E57">
        <w:tc>
          <w:tcPr>
            <w:tcW w:w="4942" w:type="dxa"/>
          </w:tcPr>
          <w:p w:rsidR="0091727F" w:rsidRPr="00E54999" w:rsidRDefault="0091727F" w:rsidP="00595E57">
            <w:pPr>
              <w:pStyle w:val="ListParagraph"/>
              <w:ind w:left="0"/>
              <w:jc w:val="both"/>
            </w:pPr>
            <w:r w:rsidRPr="00E54999">
              <w:t>Студенти, прізвища яких починаються з літер «О» - «С»</w:t>
            </w:r>
          </w:p>
        </w:tc>
        <w:tc>
          <w:tcPr>
            <w:tcW w:w="4913" w:type="dxa"/>
          </w:tcPr>
          <w:p w:rsidR="0091727F" w:rsidRPr="00E54999" w:rsidRDefault="0091727F" w:rsidP="00595E57">
            <w:pPr>
              <w:jc w:val="center"/>
            </w:pPr>
            <w:r w:rsidRPr="00E54999">
              <w:t>Варіант 4.</w:t>
            </w:r>
          </w:p>
        </w:tc>
      </w:tr>
      <w:tr w:rsidR="0091727F" w:rsidRPr="00E54999" w:rsidTr="00595E57">
        <w:tc>
          <w:tcPr>
            <w:tcW w:w="4942" w:type="dxa"/>
          </w:tcPr>
          <w:p w:rsidR="0091727F" w:rsidRPr="00E54999" w:rsidRDefault="0091727F" w:rsidP="00595E57">
            <w:pPr>
              <w:pStyle w:val="ListParagraph"/>
              <w:ind w:left="0"/>
              <w:jc w:val="both"/>
            </w:pPr>
            <w:r w:rsidRPr="00E54999">
              <w:t>Студенти, прізвища яких починаються з літер «Т» - «Ю»</w:t>
            </w:r>
          </w:p>
        </w:tc>
        <w:tc>
          <w:tcPr>
            <w:tcW w:w="4913" w:type="dxa"/>
          </w:tcPr>
          <w:p w:rsidR="0091727F" w:rsidRPr="00E54999" w:rsidRDefault="0091727F" w:rsidP="00595E57">
            <w:pPr>
              <w:jc w:val="center"/>
            </w:pPr>
            <w:r w:rsidRPr="00E54999">
              <w:t>Варіант 5.</w:t>
            </w:r>
          </w:p>
        </w:tc>
      </w:tr>
    </w:tbl>
    <w:p w:rsidR="0091727F" w:rsidRPr="00E54999" w:rsidRDefault="0091727F" w:rsidP="00830955">
      <w:pPr>
        <w:pStyle w:val="ListParagraph"/>
        <w:ind w:left="0" w:firstLine="567"/>
        <w:jc w:val="both"/>
      </w:pPr>
      <w:r w:rsidRPr="00E54999">
        <w:t>Розкриваючи теоретичні питання, студенти повинні опрацювати відповідні розділи у підручниках і навчальних посібниках, спеціальні літературу, нормативно-правові акти та судову практику з досліджуваного питання.</w:t>
      </w:r>
    </w:p>
    <w:p w:rsidR="0091727F" w:rsidRPr="00E54999" w:rsidRDefault="0091727F" w:rsidP="00830955">
      <w:pPr>
        <w:ind w:firstLine="540"/>
        <w:jc w:val="both"/>
      </w:pPr>
      <w:r w:rsidRPr="00E54999">
        <w:t>В кінці контрольної роботи має бути подано перелік використаних при її написанні джерел.  Джерела повинні розташовуватися в алфавітному порядку або по мірі їх використання в тексті контрольної роботи.</w:t>
      </w:r>
    </w:p>
    <w:p w:rsidR="0091727F" w:rsidRPr="00E54999" w:rsidRDefault="0091727F" w:rsidP="00830955">
      <w:pPr>
        <w:ind w:firstLine="540"/>
        <w:jc w:val="both"/>
      </w:pPr>
      <w:r w:rsidRPr="00E54999">
        <w:t xml:space="preserve">Контрольна робота повинна бути надрукована на одній стороні аркушів білого паперу формату А4. Текст друкується шрифтом </w:t>
      </w:r>
      <w:r w:rsidRPr="00E54999">
        <w:rPr>
          <w:lang w:val="en-US"/>
        </w:rPr>
        <w:t>Times</w:t>
      </w:r>
      <w:r w:rsidRPr="00E54999">
        <w:t xml:space="preserve"> </w:t>
      </w:r>
      <w:r w:rsidRPr="00E54999">
        <w:rPr>
          <w:lang w:val="en-US"/>
        </w:rPr>
        <w:t>New</w:t>
      </w:r>
      <w:r w:rsidRPr="00E54999">
        <w:t xml:space="preserve"> </w:t>
      </w:r>
      <w:r w:rsidRPr="00E54999">
        <w:rPr>
          <w:lang w:val="en-US"/>
        </w:rPr>
        <w:t>Roman</w:t>
      </w:r>
      <w:r w:rsidRPr="00E54999">
        <w:t xml:space="preserve"> розміром 14 пт з полуторним міжрядковим інтервалом на 8-10-ти аркушах. Рукописний текст повинен бути обсягом 18 сторінок на аркушах паперу формату А4.</w:t>
      </w:r>
    </w:p>
    <w:p w:rsidR="0091727F" w:rsidRPr="00E54999" w:rsidRDefault="0091727F" w:rsidP="00830955">
      <w:pPr>
        <w:ind w:firstLine="540"/>
        <w:jc w:val="both"/>
      </w:pPr>
      <w:r w:rsidRPr="00E54999">
        <w:t>Час відведений для виконання контрольної роботи – 8 годин самостійної роботи студента.</w:t>
      </w:r>
    </w:p>
    <w:p w:rsidR="0091727F" w:rsidRPr="00E54999" w:rsidRDefault="0091727F" w:rsidP="00830955">
      <w:pPr>
        <w:pStyle w:val="ListParagraph"/>
        <w:ind w:left="360"/>
        <w:jc w:val="right"/>
      </w:pPr>
      <w:r w:rsidRPr="00E54999">
        <w:t>Таблиця 1.</w:t>
      </w:r>
    </w:p>
    <w:p w:rsidR="0091727F" w:rsidRPr="00E54999" w:rsidRDefault="0091727F" w:rsidP="00830955">
      <w:pPr>
        <w:pStyle w:val="ListParagraph"/>
        <w:ind w:left="0"/>
        <w:jc w:val="center"/>
      </w:pPr>
      <w:r>
        <w:t xml:space="preserve">Завдання на </w:t>
      </w:r>
      <w:r w:rsidRPr="00E54999">
        <w:t>контрольну роботу, яка виконується та захищається у 1 модулі</w:t>
      </w:r>
    </w:p>
    <w:p w:rsidR="0091727F" w:rsidRPr="00E54999" w:rsidRDefault="0091727F" w:rsidP="00830955">
      <w:pPr>
        <w:pStyle w:val="ListParagraph"/>
        <w:ind w:left="0"/>
      </w:pPr>
      <w:r w:rsidRPr="00E54999">
        <w:t xml:space="preserve">Теоретична частина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8221"/>
      </w:tblGrid>
      <w:tr w:rsidR="0091727F" w:rsidRPr="00E54999" w:rsidTr="00595E57">
        <w:tc>
          <w:tcPr>
            <w:tcW w:w="1526" w:type="dxa"/>
          </w:tcPr>
          <w:p w:rsidR="0091727F" w:rsidRPr="00E54999" w:rsidRDefault="0091727F" w:rsidP="00595E57">
            <w:pPr>
              <w:jc w:val="center"/>
            </w:pPr>
            <w:r w:rsidRPr="00E54999">
              <w:t>№ варіанта</w:t>
            </w:r>
          </w:p>
        </w:tc>
        <w:tc>
          <w:tcPr>
            <w:tcW w:w="8221" w:type="dxa"/>
          </w:tcPr>
          <w:p w:rsidR="0091727F" w:rsidRPr="00E54999" w:rsidRDefault="0091727F" w:rsidP="00595E57">
            <w:pPr>
              <w:jc w:val="center"/>
            </w:pPr>
            <w:r w:rsidRPr="00E54999">
              <w:t>Завдання</w:t>
            </w:r>
          </w:p>
        </w:tc>
      </w:tr>
      <w:tr w:rsidR="0091727F" w:rsidRPr="00E54999" w:rsidTr="00595E57">
        <w:tc>
          <w:tcPr>
            <w:tcW w:w="1526" w:type="dxa"/>
          </w:tcPr>
          <w:p w:rsidR="0091727F" w:rsidRPr="00E54999" w:rsidRDefault="0091727F" w:rsidP="00595E57">
            <w:r w:rsidRPr="00E54999">
              <w:t>Варіант 1.</w:t>
            </w:r>
          </w:p>
        </w:tc>
        <w:tc>
          <w:tcPr>
            <w:tcW w:w="8221" w:type="dxa"/>
          </w:tcPr>
          <w:p w:rsidR="0091727F" w:rsidRPr="00E54999" w:rsidRDefault="0091727F" w:rsidP="00595E57">
            <w:pPr>
              <w:shd w:val="clear" w:color="auto" w:fill="FFFFFF"/>
              <w:autoSpaceDE w:val="0"/>
              <w:autoSpaceDN w:val="0"/>
              <w:adjustRightInd w:val="0"/>
            </w:pPr>
            <w:r w:rsidRPr="00E54999">
              <w:rPr>
                <w:color w:val="000000"/>
              </w:rPr>
              <w:t>1. Предмет та метод сімейного права.</w:t>
            </w:r>
          </w:p>
          <w:p w:rsidR="0091727F" w:rsidRPr="00E54999" w:rsidRDefault="0091727F" w:rsidP="00595E57">
            <w:pPr>
              <w:shd w:val="clear" w:color="auto" w:fill="FFFFFF"/>
              <w:autoSpaceDE w:val="0"/>
              <w:autoSpaceDN w:val="0"/>
              <w:adjustRightInd w:val="0"/>
            </w:pPr>
            <w:r w:rsidRPr="00E54999">
              <w:rPr>
                <w:color w:val="000000"/>
              </w:rPr>
              <w:t>2. Порядок стягнення та сплати аліментів.</w:t>
            </w:r>
          </w:p>
        </w:tc>
      </w:tr>
      <w:tr w:rsidR="0091727F" w:rsidRPr="00E54999" w:rsidTr="00595E57">
        <w:tc>
          <w:tcPr>
            <w:tcW w:w="1526" w:type="dxa"/>
          </w:tcPr>
          <w:p w:rsidR="0091727F" w:rsidRPr="00E54999" w:rsidRDefault="0091727F" w:rsidP="00595E57">
            <w:r w:rsidRPr="00E54999">
              <w:t xml:space="preserve">Варіант 2. </w:t>
            </w:r>
          </w:p>
        </w:tc>
        <w:tc>
          <w:tcPr>
            <w:tcW w:w="8221" w:type="dxa"/>
          </w:tcPr>
          <w:p w:rsidR="0091727F" w:rsidRPr="00E54999" w:rsidRDefault="0091727F" w:rsidP="00595E57">
            <w:r w:rsidRPr="00E54999">
              <w:t>1. Поняття припинення шлюбу.</w:t>
            </w:r>
          </w:p>
          <w:p w:rsidR="0091727F" w:rsidRPr="00E54999" w:rsidRDefault="0091727F" w:rsidP="00595E57">
            <w:r w:rsidRPr="00E54999">
              <w:t>2. Правові наслідки визнання усиновлення недійсним та скасування усиновлення</w:t>
            </w:r>
          </w:p>
        </w:tc>
      </w:tr>
      <w:tr w:rsidR="0091727F" w:rsidRPr="00E54999" w:rsidTr="00595E57">
        <w:tc>
          <w:tcPr>
            <w:tcW w:w="1526" w:type="dxa"/>
          </w:tcPr>
          <w:p w:rsidR="0091727F" w:rsidRPr="00E54999" w:rsidRDefault="0091727F" w:rsidP="00595E57">
            <w:r w:rsidRPr="00E54999">
              <w:t>Варіант 3.</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Правові наслідки визнання шлюбу недійсним.</w:t>
            </w:r>
          </w:p>
          <w:p w:rsidR="0091727F" w:rsidRPr="00E54999" w:rsidRDefault="0091727F" w:rsidP="00595E57">
            <w:pPr>
              <w:shd w:val="clear" w:color="auto" w:fill="FFFFFF"/>
              <w:autoSpaceDE w:val="0"/>
              <w:autoSpaceDN w:val="0"/>
              <w:adjustRightInd w:val="0"/>
              <w:ind w:left="34"/>
            </w:pPr>
            <w:r w:rsidRPr="00E54999">
              <w:t>2. Права дітей і батьків на майно.</w:t>
            </w:r>
          </w:p>
        </w:tc>
      </w:tr>
      <w:tr w:rsidR="0091727F" w:rsidRPr="00E54999" w:rsidTr="00595E57">
        <w:tc>
          <w:tcPr>
            <w:tcW w:w="1526" w:type="dxa"/>
          </w:tcPr>
          <w:p w:rsidR="0091727F" w:rsidRPr="00E54999" w:rsidRDefault="0091727F" w:rsidP="00595E57">
            <w:r w:rsidRPr="00E54999">
              <w:t xml:space="preserve">Варіант 4.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Поняття недійсності шлюбу. Момент, з якого шлюб вважається недійсним.</w:t>
            </w:r>
          </w:p>
          <w:p w:rsidR="0091727F" w:rsidRPr="00E54999" w:rsidRDefault="0091727F" w:rsidP="00595E57">
            <w:pPr>
              <w:shd w:val="clear" w:color="auto" w:fill="FFFFFF"/>
              <w:autoSpaceDE w:val="0"/>
              <w:autoSpaceDN w:val="0"/>
              <w:adjustRightInd w:val="0"/>
              <w:ind w:left="34"/>
            </w:pPr>
            <w:r w:rsidRPr="00E54999">
              <w:rPr>
                <w:color w:val="000000"/>
              </w:rPr>
              <w:t>2. Поняття усиновлення (удочеріння)</w:t>
            </w:r>
          </w:p>
        </w:tc>
      </w:tr>
      <w:tr w:rsidR="0091727F" w:rsidRPr="00E54999" w:rsidTr="00595E57">
        <w:tc>
          <w:tcPr>
            <w:tcW w:w="1526" w:type="dxa"/>
          </w:tcPr>
          <w:p w:rsidR="0091727F" w:rsidRPr="00E54999" w:rsidRDefault="0091727F" w:rsidP="00595E57">
            <w:r w:rsidRPr="00E54999">
              <w:t xml:space="preserve">Варіант 5. </w:t>
            </w:r>
          </w:p>
        </w:tc>
        <w:tc>
          <w:tcPr>
            <w:tcW w:w="8221" w:type="dxa"/>
          </w:tcPr>
          <w:p w:rsidR="0091727F" w:rsidRPr="00E54999" w:rsidRDefault="0091727F" w:rsidP="00595E57">
            <w:pPr>
              <w:shd w:val="clear" w:color="auto" w:fill="FFFFFF"/>
              <w:autoSpaceDE w:val="0"/>
              <w:autoSpaceDN w:val="0"/>
              <w:adjustRightInd w:val="0"/>
              <w:ind w:left="34"/>
            </w:pPr>
            <w:r w:rsidRPr="00E54999">
              <w:rPr>
                <w:color w:val="000000"/>
              </w:rPr>
              <w:t>1. Характеристика майнових відносин подружжя.</w:t>
            </w:r>
          </w:p>
          <w:p w:rsidR="0091727F" w:rsidRPr="00E54999" w:rsidRDefault="0091727F" w:rsidP="00595E57">
            <w:pPr>
              <w:shd w:val="clear" w:color="auto" w:fill="FFFFFF"/>
              <w:autoSpaceDE w:val="0"/>
              <w:autoSpaceDN w:val="0"/>
              <w:adjustRightInd w:val="0"/>
              <w:ind w:left="34"/>
            </w:pPr>
            <w:r w:rsidRPr="00E54999">
              <w:rPr>
                <w:color w:val="000000"/>
              </w:rPr>
              <w:t>2. Стягнення аліментів у твердій грошовій сумі.</w:t>
            </w:r>
          </w:p>
        </w:tc>
      </w:tr>
      <w:tr w:rsidR="0091727F" w:rsidRPr="00E54999" w:rsidTr="00595E57">
        <w:tc>
          <w:tcPr>
            <w:tcW w:w="1526" w:type="dxa"/>
          </w:tcPr>
          <w:p w:rsidR="0091727F" w:rsidRPr="00E54999" w:rsidRDefault="0091727F" w:rsidP="00595E57">
            <w:r w:rsidRPr="00E54999">
              <w:t xml:space="preserve">Варіант 6.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Основні принципи сімейного права.</w:t>
            </w:r>
          </w:p>
          <w:p w:rsidR="0091727F" w:rsidRPr="00E54999" w:rsidRDefault="0091727F" w:rsidP="00595E57">
            <w:pPr>
              <w:shd w:val="clear" w:color="auto" w:fill="FFFFFF"/>
              <w:autoSpaceDE w:val="0"/>
              <w:autoSpaceDN w:val="0"/>
              <w:adjustRightInd w:val="0"/>
              <w:ind w:left="34"/>
            </w:pPr>
            <w:r w:rsidRPr="00E54999">
              <w:t>2. Договірний режим майна подружжя.</w:t>
            </w:r>
          </w:p>
        </w:tc>
      </w:tr>
      <w:tr w:rsidR="0091727F" w:rsidRPr="00E54999" w:rsidTr="00595E57">
        <w:tc>
          <w:tcPr>
            <w:tcW w:w="1526" w:type="dxa"/>
          </w:tcPr>
          <w:p w:rsidR="0091727F" w:rsidRPr="00E54999" w:rsidRDefault="0091727F" w:rsidP="00595E57">
            <w:r w:rsidRPr="00E54999">
              <w:t xml:space="preserve">Варіант 7.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Порядок вступу до шлюбу.</w:t>
            </w:r>
          </w:p>
          <w:p w:rsidR="0091727F" w:rsidRPr="00E54999" w:rsidRDefault="0091727F" w:rsidP="00595E57">
            <w:pPr>
              <w:shd w:val="clear" w:color="auto" w:fill="FFFFFF"/>
              <w:autoSpaceDE w:val="0"/>
              <w:autoSpaceDN w:val="0"/>
              <w:adjustRightInd w:val="0"/>
              <w:ind w:left="34"/>
            </w:pPr>
            <w:r w:rsidRPr="00E54999">
              <w:t>2. Відібрання дитини від батьків без позбавлення батьківських прав.</w:t>
            </w:r>
          </w:p>
        </w:tc>
      </w:tr>
      <w:tr w:rsidR="0091727F" w:rsidRPr="00E54999" w:rsidTr="00595E57">
        <w:tc>
          <w:tcPr>
            <w:tcW w:w="1526" w:type="dxa"/>
          </w:tcPr>
          <w:p w:rsidR="0091727F" w:rsidRPr="00E54999" w:rsidRDefault="0091727F" w:rsidP="00595E57">
            <w:r w:rsidRPr="00E54999">
              <w:t xml:space="preserve">Варіант 8.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Підстави визнання шлюбу недійсним.</w:t>
            </w:r>
          </w:p>
          <w:p w:rsidR="0091727F" w:rsidRPr="00E54999" w:rsidRDefault="0091727F" w:rsidP="00595E57">
            <w:pPr>
              <w:shd w:val="clear" w:color="auto" w:fill="FFFFFF"/>
              <w:autoSpaceDE w:val="0"/>
              <w:autoSpaceDN w:val="0"/>
              <w:adjustRightInd w:val="0"/>
              <w:ind w:left="34"/>
            </w:pPr>
            <w:r w:rsidRPr="00E54999">
              <w:t>2. Договірний режим майна подружжя.</w:t>
            </w:r>
          </w:p>
        </w:tc>
      </w:tr>
      <w:tr w:rsidR="0091727F" w:rsidRPr="00E54999" w:rsidTr="00595E57">
        <w:tc>
          <w:tcPr>
            <w:tcW w:w="1526" w:type="dxa"/>
          </w:tcPr>
          <w:p w:rsidR="0091727F" w:rsidRPr="00E54999" w:rsidRDefault="0091727F" w:rsidP="00595E57">
            <w:r w:rsidRPr="00E54999">
              <w:t xml:space="preserve">Варіант 9.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Види сімейних правовідносин</w:t>
            </w:r>
          </w:p>
          <w:p w:rsidR="0091727F" w:rsidRPr="00E54999" w:rsidRDefault="0091727F" w:rsidP="00595E57">
            <w:pPr>
              <w:shd w:val="clear" w:color="auto" w:fill="FFFFFF"/>
              <w:autoSpaceDE w:val="0"/>
              <w:autoSpaceDN w:val="0"/>
              <w:adjustRightInd w:val="0"/>
              <w:ind w:left="34"/>
            </w:pPr>
            <w:r w:rsidRPr="00E54999">
              <w:rPr>
                <w:color w:val="000000"/>
              </w:rPr>
              <w:t>2. Порядок проведення усиновлення.</w:t>
            </w:r>
          </w:p>
        </w:tc>
      </w:tr>
      <w:tr w:rsidR="0091727F" w:rsidRPr="00E54999" w:rsidTr="00595E57">
        <w:tc>
          <w:tcPr>
            <w:tcW w:w="1526" w:type="dxa"/>
          </w:tcPr>
          <w:p w:rsidR="0091727F" w:rsidRPr="00E54999" w:rsidRDefault="0091727F" w:rsidP="00595E57">
            <w:r w:rsidRPr="00E54999">
              <w:t xml:space="preserve">Варіант 10.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Право кожного із подружжя на вибір занять, професії і місця</w:t>
            </w:r>
            <w:r w:rsidRPr="00E54999">
              <w:t xml:space="preserve"> </w:t>
            </w:r>
            <w:r w:rsidRPr="00E54999">
              <w:rPr>
                <w:color w:val="000000"/>
              </w:rPr>
              <w:t>проживання, повагу до своєї індивідуальності, звичок та уподобань</w:t>
            </w:r>
          </w:p>
          <w:p w:rsidR="0091727F" w:rsidRPr="00E54999" w:rsidRDefault="0091727F" w:rsidP="00595E57">
            <w:pPr>
              <w:shd w:val="clear" w:color="auto" w:fill="FFFFFF"/>
              <w:autoSpaceDE w:val="0"/>
              <w:autoSpaceDN w:val="0"/>
              <w:adjustRightInd w:val="0"/>
              <w:ind w:left="34"/>
            </w:pPr>
            <w:r w:rsidRPr="00E54999">
              <w:rPr>
                <w:color w:val="000000"/>
              </w:rPr>
              <w:t>2. Правові наслідки усиновлення.</w:t>
            </w:r>
          </w:p>
        </w:tc>
      </w:tr>
      <w:tr w:rsidR="0091727F" w:rsidRPr="00E54999" w:rsidTr="00595E57">
        <w:tc>
          <w:tcPr>
            <w:tcW w:w="1526" w:type="dxa"/>
          </w:tcPr>
          <w:p w:rsidR="0091727F" w:rsidRPr="00E54999" w:rsidRDefault="0091727F" w:rsidP="00595E57">
            <w:r w:rsidRPr="00E54999">
              <w:t>Варіант 11.</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Випадки, коли шлюб може бути визнаний недійсним.</w:t>
            </w:r>
          </w:p>
          <w:p w:rsidR="0091727F" w:rsidRPr="00E54999" w:rsidRDefault="0091727F" w:rsidP="00595E57">
            <w:pPr>
              <w:shd w:val="clear" w:color="auto" w:fill="FFFFFF"/>
              <w:autoSpaceDE w:val="0"/>
              <w:autoSpaceDN w:val="0"/>
              <w:adjustRightInd w:val="0"/>
              <w:ind w:left="34"/>
            </w:pPr>
            <w:r w:rsidRPr="00E54999">
              <w:t>2. Правове регулювання сімейних відносин за участю іноземців та осіб без громадянства.</w:t>
            </w:r>
          </w:p>
        </w:tc>
      </w:tr>
      <w:tr w:rsidR="0091727F" w:rsidRPr="00E54999" w:rsidTr="00595E57">
        <w:tc>
          <w:tcPr>
            <w:tcW w:w="1526" w:type="dxa"/>
          </w:tcPr>
          <w:p w:rsidR="0091727F" w:rsidRPr="00E54999" w:rsidRDefault="0091727F" w:rsidP="00595E57">
            <w:r w:rsidRPr="00E54999">
              <w:t xml:space="preserve">Варіант 12. </w:t>
            </w:r>
          </w:p>
        </w:tc>
        <w:tc>
          <w:tcPr>
            <w:tcW w:w="8221" w:type="dxa"/>
          </w:tcPr>
          <w:p w:rsidR="0091727F" w:rsidRPr="00E54999" w:rsidRDefault="0091727F" w:rsidP="00595E57">
            <w:pPr>
              <w:shd w:val="clear" w:color="auto" w:fill="FFFFFF"/>
              <w:autoSpaceDE w:val="0"/>
              <w:autoSpaceDN w:val="0"/>
              <w:adjustRightInd w:val="0"/>
            </w:pPr>
            <w:r w:rsidRPr="00E54999">
              <w:rPr>
                <w:color w:val="000000"/>
              </w:rPr>
              <w:t>1. Правовий режим майна, що  є особистою приватною власністю чоловіка, дружини.</w:t>
            </w:r>
          </w:p>
          <w:p w:rsidR="0091727F" w:rsidRPr="00E54999" w:rsidRDefault="0091727F" w:rsidP="00595E57">
            <w:pPr>
              <w:shd w:val="clear" w:color="auto" w:fill="FFFFFF"/>
              <w:autoSpaceDE w:val="0"/>
              <w:autoSpaceDN w:val="0"/>
              <w:adjustRightInd w:val="0"/>
            </w:pPr>
            <w:r w:rsidRPr="00E54999">
              <w:t>2. Договір про патронат.</w:t>
            </w:r>
          </w:p>
        </w:tc>
      </w:tr>
      <w:tr w:rsidR="0091727F" w:rsidRPr="00E54999" w:rsidTr="00595E57">
        <w:tc>
          <w:tcPr>
            <w:tcW w:w="1526" w:type="dxa"/>
          </w:tcPr>
          <w:p w:rsidR="0091727F" w:rsidRPr="00E54999" w:rsidRDefault="0091727F" w:rsidP="00595E57">
            <w:r w:rsidRPr="00E54999">
              <w:t xml:space="preserve">Варіант 13. </w:t>
            </w:r>
          </w:p>
        </w:tc>
        <w:tc>
          <w:tcPr>
            <w:tcW w:w="8221" w:type="dxa"/>
          </w:tcPr>
          <w:p w:rsidR="0091727F" w:rsidRPr="00E54999" w:rsidRDefault="0091727F" w:rsidP="00595E57">
            <w:pPr>
              <w:shd w:val="clear" w:color="auto" w:fill="FFFFFF"/>
              <w:autoSpaceDE w:val="0"/>
              <w:autoSpaceDN w:val="0"/>
              <w:adjustRightInd w:val="0"/>
              <w:rPr>
                <w:color w:val="000000"/>
              </w:rPr>
            </w:pPr>
            <w:r w:rsidRPr="00E54999">
              <w:rPr>
                <w:color w:val="000000"/>
              </w:rPr>
              <w:t>1. Позитивні умови укладення шлюбу.</w:t>
            </w:r>
          </w:p>
          <w:p w:rsidR="0091727F" w:rsidRPr="00E54999" w:rsidRDefault="0091727F" w:rsidP="00595E57">
            <w:pPr>
              <w:shd w:val="clear" w:color="auto" w:fill="FFFFFF"/>
              <w:autoSpaceDE w:val="0"/>
              <w:autoSpaceDN w:val="0"/>
              <w:adjustRightInd w:val="0"/>
            </w:pPr>
            <w:r w:rsidRPr="00E54999">
              <w:t>2. Порядок та підстави позбавлення батьківських прав.</w:t>
            </w:r>
          </w:p>
        </w:tc>
      </w:tr>
      <w:tr w:rsidR="0091727F" w:rsidRPr="00E54999" w:rsidTr="00595E57">
        <w:tc>
          <w:tcPr>
            <w:tcW w:w="1526" w:type="dxa"/>
          </w:tcPr>
          <w:p w:rsidR="0091727F" w:rsidRPr="00E54999" w:rsidRDefault="0091727F" w:rsidP="00595E57">
            <w:r w:rsidRPr="00E54999">
              <w:t xml:space="preserve">Варіант 14. </w:t>
            </w:r>
          </w:p>
        </w:tc>
        <w:tc>
          <w:tcPr>
            <w:tcW w:w="8221" w:type="dxa"/>
          </w:tcPr>
          <w:p w:rsidR="0091727F" w:rsidRPr="00E54999" w:rsidRDefault="0091727F" w:rsidP="00595E57">
            <w:pPr>
              <w:shd w:val="clear" w:color="auto" w:fill="FFFFFF"/>
              <w:autoSpaceDE w:val="0"/>
              <w:autoSpaceDN w:val="0"/>
              <w:adjustRightInd w:val="0"/>
              <w:ind w:left="34"/>
              <w:rPr>
                <w:color w:val="000000"/>
              </w:rPr>
            </w:pPr>
            <w:r w:rsidRPr="00E54999">
              <w:rPr>
                <w:color w:val="000000"/>
              </w:rPr>
              <w:t>1. Розірвання через державні органи РАЦСу.</w:t>
            </w:r>
          </w:p>
          <w:p w:rsidR="0091727F" w:rsidRPr="00E54999" w:rsidRDefault="0091727F" w:rsidP="00595E57">
            <w:pPr>
              <w:shd w:val="clear" w:color="auto" w:fill="FFFFFF"/>
              <w:autoSpaceDE w:val="0"/>
              <w:autoSpaceDN w:val="0"/>
              <w:adjustRightInd w:val="0"/>
              <w:ind w:left="34"/>
            </w:pPr>
            <w:r w:rsidRPr="00E54999">
              <w:t>2. Обов’язок батьків утримувати дітей та його виконання.</w:t>
            </w:r>
          </w:p>
        </w:tc>
      </w:tr>
      <w:tr w:rsidR="0091727F" w:rsidRPr="00E54999" w:rsidTr="00595E57">
        <w:tc>
          <w:tcPr>
            <w:tcW w:w="1526" w:type="dxa"/>
          </w:tcPr>
          <w:p w:rsidR="0091727F" w:rsidRPr="00E54999" w:rsidRDefault="0091727F" w:rsidP="00595E57">
            <w:r w:rsidRPr="00E54999">
              <w:t xml:space="preserve">Варіант 15. </w:t>
            </w:r>
          </w:p>
        </w:tc>
        <w:tc>
          <w:tcPr>
            <w:tcW w:w="8221" w:type="dxa"/>
          </w:tcPr>
          <w:p w:rsidR="0091727F" w:rsidRPr="00E54999" w:rsidRDefault="0091727F" w:rsidP="00595E57">
            <w:pPr>
              <w:shd w:val="clear" w:color="auto" w:fill="FFFFFF"/>
              <w:autoSpaceDE w:val="0"/>
              <w:autoSpaceDN w:val="0"/>
              <w:adjustRightInd w:val="0"/>
              <w:ind w:left="34"/>
            </w:pPr>
            <w:r w:rsidRPr="00E54999">
              <w:rPr>
                <w:color w:val="000000"/>
              </w:rPr>
              <w:t>1. Поняття особистих немайнових прав і обов'язків подружжя.</w:t>
            </w:r>
          </w:p>
          <w:p w:rsidR="0091727F" w:rsidRPr="00E54999" w:rsidRDefault="0091727F" w:rsidP="00595E57">
            <w:pPr>
              <w:shd w:val="clear" w:color="auto" w:fill="FFFFFF"/>
              <w:autoSpaceDE w:val="0"/>
              <w:autoSpaceDN w:val="0"/>
              <w:adjustRightInd w:val="0"/>
              <w:ind w:left="34"/>
            </w:pPr>
            <w:r w:rsidRPr="00E54999">
              <w:rPr>
                <w:color w:val="000000"/>
              </w:rPr>
              <w:t xml:space="preserve">2. Розмір аліментів на непрацездатних повнолітніх дітей. </w:t>
            </w:r>
          </w:p>
        </w:tc>
      </w:tr>
      <w:tr w:rsidR="0091727F" w:rsidRPr="00E54999" w:rsidTr="00595E57">
        <w:tc>
          <w:tcPr>
            <w:tcW w:w="1526" w:type="dxa"/>
          </w:tcPr>
          <w:p w:rsidR="0091727F" w:rsidRPr="00E54999" w:rsidRDefault="0091727F" w:rsidP="00595E57">
            <w:r w:rsidRPr="00E54999">
              <w:t xml:space="preserve">Варіант 16. </w:t>
            </w:r>
          </w:p>
        </w:tc>
        <w:tc>
          <w:tcPr>
            <w:tcW w:w="8221" w:type="dxa"/>
          </w:tcPr>
          <w:p w:rsidR="0091727F" w:rsidRPr="00E54999" w:rsidRDefault="0091727F" w:rsidP="00595E57">
            <w:pPr>
              <w:shd w:val="clear" w:color="auto" w:fill="FFFFFF"/>
              <w:autoSpaceDE w:val="0"/>
              <w:autoSpaceDN w:val="0"/>
              <w:adjustRightInd w:val="0"/>
              <w:ind w:left="34"/>
            </w:pPr>
            <w:r w:rsidRPr="00E54999">
              <w:rPr>
                <w:color w:val="000000"/>
              </w:rPr>
              <w:t>1. Поняття сімейного права.</w:t>
            </w:r>
          </w:p>
          <w:p w:rsidR="0091727F" w:rsidRPr="00E54999" w:rsidRDefault="0091727F" w:rsidP="00595E57">
            <w:pPr>
              <w:ind w:left="34"/>
              <w:rPr>
                <w:color w:val="000000"/>
              </w:rPr>
            </w:pPr>
            <w:r w:rsidRPr="00E54999">
              <w:rPr>
                <w:color w:val="000000"/>
              </w:rPr>
              <w:t>2. Припинення шлюбу шляхом розірвання</w:t>
            </w:r>
          </w:p>
        </w:tc>
      </w:tr>
      <w:tr w:rsidR="0091727F" w:rsidRPr="00E54999" w:rsidTr="00595E57">
        <w:tc>
          <w:tcPr>
            <w:tcW w:w="1526" w:type="dxa"/>
          </w:tcPr>
          <w:p w:rsidR="0091727F" w:rsidRPr="00E54999" w:rsidRDefault="0091727F" w:rsidP="00595E57">
            <w:r w:rsidRPr="00E54999">
              <w:t xml:space="preserve">Варіант 17. </w:t>
            </w:r>
          </w:p>
        </w:tc>
        <w:tc>
          <w:tcPr>
            <w:tcW w:w="8221" w:type="dxa"/>
          </w:tcPr>
          <w:p w:rsidR="0091727F" w:rsidRPr="00E54999" w:rsidRDefault="0091727F" w:rsidP="00595E57">
            <w:pPr>
              <w:shd w:val="clear" w:color="auto" w:fill="FFFFFF"/>
              <w:autoSpaceDE w:val="0"/>
              <w:autoSpaceDN w:val="0"/>
              <w:adjustRightInd w:val="0"/>
              <w:ind w:left="34"/>
            </w:pPr>
            <w:r w:rsidRPr="00E54999">
              <w:rPr>
                <w:color w:val="000000"/>
              </w:rPr>
              <w:t>1. Види особистих немайнових відносин подружжя.</w:t>
            </w:r>
          </w:p>
          <w:p w:rsidR="0091727F" w:rsidRPr="00E54999" w:rsidRDefault="0091727F" w:rsidP="00595E57">
            <w:pPr>
              <w:shd w:val="clear" w:color="auto" w:fill="FFFFFF"/>
              <w:autoSpaceDE w:val="0"/>
              <w:autoSpaceDN w:val="0"/>
              <w:adjustRightInd w:val="0"/>
              <w:ind w:left="34"/>
            </w:pPr>
            <w:r w:rsidRPr="00E54999">
              <w:rPr>
                <w:color w:val="000000"/>
              </w:rPr>
              <w:t xml:space="preserve">2. Обставини, які враховуються судом при визначенні розміру аліментів. </w:t>
            </w:r>
          </w:p>
        </w:tc>
      </w:tr>
      <w:tr w:rsidR="0091727F" w:rsidRPr="00E54999" w:rsidTr="00595E57">
        <w:tc>
          <w:tcPr>
            <w:tcW w:w="1526" w:type="dxa"/>
          </w:tcPr>
          <w:p w:rsidR="0091727F" w:rsidRPr="00E54999" w:rsidRDefault="0091727F" w:rsidP="00595E57">
            <w:r w:rsidRPr="00E54999">
              <w:t xml:space="preserve">Варіант 18. </w:t>
            </w:r>
          </w:p>
        </w:tc>
        <w:tc>
          <w:tcPr>
            <w:tcW w:w="8221" w:type="dxa"/>
          </w:tcPr>
          <w:p w:rsidR="0091727F" w:rsidRPr="00E54999" w:rsidRDefault="0091727F" w:rsidP="00595E57">
            <w:pPr>
              <w:shd w:val="clear" w:color="auto" w:fill="FFFFFF"/>
              <w:autoSpaceDE w:val="0"/>
              <w:autoSpaceDN w:val="0"/>
              <w:adjustRightInd w:val="0"/>
              <w:ind w:left="34"/>
            </w:pPr>
            <w:r w:rsidRPr="00E54999">
              <w:t>1. Правовий режим та склад спільного майна подружжя.</w:t>
            </w:r>
          </w:p>
          <w:p w:rsidR="0091727F" w:rsidRPr="00E54999" w:rsidRDefault="0091727F" w:rsidP="00595E57">
            <w:pPr>
              <w:shd w:val="clear" w:color="auto" w:fill="FFFFFF"/>
              <w:autoSpaceDE w:val="0"/>
              <w:autoSpaceDN w:val="0"/>
              <w:adjustRightInd w:val="0"/>
              <w:ind w:left="34"/>
            </w:pPr>
            <w:r w:rsidRPr="00E54999">
              <w:t>2. Поняття та види особистих немайнових прав дитини.</w:t>
            </w:r>
          </w:p>
        </w:tc>
      </w:tr>
    </w:tbl>
    <w:p w:rsidR="0091727F" w:rsidRPr="00E54999" w:rsidRDefault="0091727F" w:rsidP="00830955"/>
    <w:p w:rsidR="0091727F" w:rsidRPr="00E54999" w:rsidRDefault="0091727F" w:rsidP="00830955">
      <w:pPr>
        <w:pStyle w:val="ListParagraph"/>
        <w:ind w:left="360"/>
      </w:pPr>
      <w:r w:rsidRPr="00E54999">
        <w:t>Практична частина</w:t>
      </w:r>
    </w:p>
    <w:p w:rsidR="0091727F" w:rsidRPr="00E54999" w:rsidRDefault="0091727F" w:rsidP="00830955">
      <w:pPr>
        <w:pStyle w:val="BodyText"/>
        <w:ind w:firstLine="567"/>
        <w:rPr>
          <w:rFonts w:ascii="Times New Roman" w:hAnsi="Times New Roman"/>
          <w:b w:val="0"/>
          <w:sz w:val="24"/>
          <w:szCs w:val="24"/>
        </w:rPr>
      </w:pPr>
      <w:r w:rsidRPr="00E54999">
        <w:rPr>
          <w:rFonts w:ascii="Times New Roman" w:hAnsi="Times New Roman"/>
          <w:b w:val="0"/>
          <w:sz w:val="24"/>
          <w:szCs w:val="24"/>
        </w:rPr>
        <w:t xml:space="preserve">Варіант 1. </w:t>
      </w:r>
    </w:p>
    <w:p w:rsidR="0091727F" w:rsidRPr="00E54999" w:rsidRDefault="0091727F" w:rsidP="00830955">
      <w:pPr>
        <w:widowControl w:val="0"/>
        <w:ind w:firstLine="540"/>
        <w:jc w:val="both"/>
      </w:pPr>
      <w:r w:rsidRPr="00E54999">
        <w:t>16-річна Наталя вирішила взя</w:t>
      </w:r>
      <w:r w:rsidRPr="00E54999">
        <w:softHyphen/>
        <w:t>ти шлюб із 18-річним Олександром. Рішен</w:t>
      </w:r>
      <w:r w:rsidRPr="00E54999">
        <w:softHyphen/>
        <w:t>ням суду їй було надано право на шлюб. Однак Наталя і Олександр посва</w:t>
      </w:r>
      <w:r w:rsidRPr="00E54999">
        <w:softHyphen/>
        <w:t>рилися через кілька днів після на</w:t>
      </w:r>
      <w:r w:rsidRPr="00E54999">
        <w:softHyphen/>
        <w:t xml:space="preserve">дання права на шлюб, і вже через 2 місяці Наталя виявила бажання вийти заміж за  20-річного Антона. Але у ДОРАЦСі їхній шлюб зареєструвати відмовились. </w:t>
      </w:r>
    </w:p>
    <w:p w:rsidR="0091727F" w:rsidRPr="00E54999" w:rsidRDefault="0091727F" w:rsidP="00830955">
      <w:pPr>
        <w:widowControl w:val="0"/>
        <w:ind w:firstLine="540"/>
        <w:jc w:val="both"/>
        <w:rPr>
          <w:i/>
        </w:rPr>
      </w:pPr>
      <w:r w:rsidRPr="00E54999">
        <w:rPr>
          <w:i/>
        </w:rPr>
        <w:t>Чи правомірна відповідь працівників ДОРАЦСу? Чи змінилася б Ваша відповідь, як би Антону виповнилося тільки 17 років?</w:t>
      </w:r>
    </w:p>
    <w:p w:rsidR="0091727F" w:rsidRPr="00E54999" w:rsidRDefault="0091727F" w:rsidP="00830955">
      <w:pPr>
        <w:pStyle w:val="BodyText"/>
        <w:ind w:firstLine="567"/>
        <w:rPr>
          <w:rFonts w:ascii="Times New Roman" w:hAnsi="Times New Roman"/>
          <w:b w:val="0"/>
          <w:sz w:val="24"/>
          <w:szCs w:val="24"/>
        </w:rPr>
      </w:pPr>
      <w:r w:rsidRPr="00E54999">
        <w:rPr>
          <w:rFonts w:ascii="Times New Roman" w:hAnsi="Times New Roman"/>
          <w:b w:val="0"/>
          <w:sz w:val="24"/>
          <w:szCs w:val="24"/>
        </w:rPr>
        <w:t xml:space="preserve">Варіант 2. </w:t>
      </w:r>
    </w:p>
    <w:p w:rsidR="0091727F" w:rsidRPr="00E54999" w:rsidRDefault="0091727F" w:rsidP="00830955">
      <w:pPr>
        <w:widowControl w:val="0"/>
        <w:shd w:val="clear" w:color="auto" w:fill="FFFFFF"/>
        <w:adjustRightInd w:val="0"/>
        <w:ind w:firstLine="425"/>
        <w:jc w:val="both"/>
      </w:pPr>
      <w:r w:rsidRPr="00E54999">
        <w:t>Миколі і Світлані при поданні заяви про реєстрацію шлюбу у ДОРАЦСі було сказано, що реєст</w:t>
      </w:r>
      <w:r w:rsidRPr="00E54999">
        <w:softHyphen/>
        <w:t>рація шлюбу відбудеться тільки в тому разі, якщо наречені прой</w:t>
      </w:r>
      <w:r w:rsidRPr="00E54999">
        <w:softHyphen/>
        <w:t>дуть медичне обстеження. За два дні до реєстрації шлюбу нареченим було повідомлено, що вона не відбудеться, поки вони не нададуть довідки про сам факт проходжен</w:t>
      </w:r>
      <w:r w:rsidRPr="00E54999">
        <w:softHyphen/>
        <w:t xml:space="preserve">ня медичного обстеження. </w:t>
      </w:r>
    </w:p>
    <w:p w:rsidR="0091727F" w:rsidRPr="00E54999" w:rsidRDefault="0091727F" w:rsidP="00830955">
      <w:pPr>
        <w:widowControl w:val="0"/>
        <w:shd w:val="clear" w:color="auto" w:fill="FFFFFF"/>
        <w:adjustRightInd w:val="0"/>
        <w:ind w:firstLine="425"/>
        <w:jc w:val="both"/>
        <w:rPr>
          <w:i/>
        </w:rPr>
      </w:pPr>
      <w:r w:rsidRPr="00E54999">
        <w:rPr>
          <w:i/>
        </w:rPr>
        <w:t>Чи правомірна вимога працівників ДОРАЦСу?</w:t>
      </w:r>
    </w:p>
    <w:p w:rsidR="0091727F" w:rsidRPr="00E54999" w:rsidRDefault="0091727F" w:rsidP="00830955">
      <w:pPr>
        <w:pStyle w:val="BodyText"/>
        <w:ind w:firstLine="567"/>
        <w:rPr>
          <w:rFonts w:ascii="Times New Roman" w:hAnsi="Times New Roman"/>
          <w:b w:val="0"/>
          <w:sz w:val="24"/>
          <w:szCs w:val="24"/>
        </w:rPr>
      </w:pPr>
      <w:r w:rsidRPr="00E54999">
        <w:rPr>
          <w:rFonts w:ascii="Times New Roman" w:hAnsi="Times New Roman"/>
          <w:b w:val="0"/>
          <w:sz w:val="24"/>
          <w:szCs w:val="24"/>
        </w:rPr>
        <w:t xml:space="preserve">Варіант 3. </w:t>
      </w:r>
    </w:p>
    <w:p w:rsidR="0091727F" w:rsidRPr="00E54999" w:rsidRDefault="0091727F" w:rsidP="00830955">
      <w:pPr>
        <w:widowControl w:val="0"/>
        <w:ind w:firstLine="540"/>
        <w:jc w:val="both"/>
      </w:pPr>
      <w:r w:rsidRPr="00E54999">
        <w:t>Решетникова звернулася до суду з позовом про визнання недійсним шлюбу, зареєстрованого з Орловим, мотивуючи свої вимоги тим, що до реєстрації шлюбу  Орлов ввів її в оману. Зокрема, він повідомив про працює на посаді директора великого підприємства, а також є власником кількох квартир у м. Києві та земельної ділянки у Київській області. Окрім того, Орлов після реєстрації шлюбу обіцяв прийняти Решетникову на посаду головного бухгалтера, на підприємстві, де він працює. Бажаючи покращити своє матеріальне становище, Решетникова дала згоду на укладення з Орловим шлюбу.</w:t>
      </w:r>
    </w:p>
    <w:p w:rsidR="0091727F" w:rsidRPr="00E54999" w:rsidRDefault="0091727F" w:rsidP="00830955">
      <w:pPr>
        <w:widowControl w:val="0"/>
        <w:ind w:firstLine="540"/>
        <w:jc w:val="both"/>
      </w:pPr>
      <w:r w:rsidRPr="00E54999">
        <w:t>Через деякий час після реєстрації шлюбу виявилося, що вся повідомлена Орловим інформація не відповідає дійсності.</w:t>
      </w:r>
    </w:p>
    <w:p w:rsidR="0091727F" w:rsidRPr="00E54999" w:rsidRDefault="0091727F" w:rsidP="00830955">
      <w:pPr>
        <w:widowControl w:val="0"/>
        <w:ind w:firstLine="540"/>
        <w:rPr>
          <w:i/>
        </w:rPr>
      </w:pPr>
      <w:r w:rsidRPr="00E54999">
        <w:rPr>
          <w:i/>
        </w:rPr>
        <w:t>Чи підлягає позов Решетникової задоволенню?</w:t>
      </w:r>
    </w:p>
    <w:p w:rsidR="0091727F" w:rsidRPr="00E54999" w:rsidRDefault="0091727F" w:rsidP="00830955">
      <w:pPr>
        <w:pStyle w:val="BodyText"/>
        <w:ind w:firstLine="567"/>
        <w:rPr>
          <w:rFonts w:ascii="Times New Roman" w:hAnsi="Times New Roman"/>
          <w:b w:val="0"/>
          <w:sz w:val="24"/>
          <w:szCs w:val="24"/>
        </w:rPr>
      </w:pPr>
      <w:r w:rsidRPr="00E54999">
        <w:rPr>
          <w:rFonts w:ascii="Times New Roman" w:hAnsi="Times New Roman"/>
          <w:b w:val="0"/>
          <w:sz w:val="24"/>
          <w:szCs w:val="24"/>
        </w:rPr>
        <w:t xml:space="preserve">Варіант 4. </w:t>
      </w:r>
    </w:p>
    <w:p w:rsidR="0091727F" w:rsidRPr="00E54999" w:rsidRDefault="0091727F" w:rsidP="00830955">
      <w:pPr>
        <w:widowControl w:val="0"/>
        <w:ind w:firstLine="540"/>
        <w:jc w:val="both"/>
      </w:pPr>
      <w:r w:rsidRPr="00E54999">
        <w:t>Наталя і Євген після реєстрації шлюбу мешкали у квартирі, яка знаходилась у державній власності. Через рік Євген приватизував вказану квартиру і став її одноособовим власником. А через два роки Наталя і Євген розірвали шлюб. Після розірвання шлюбу між ними виник спір з приводу поділу квартири. Наталя вважала, що квартира набута у шлюбі, і, відповідно, підлягає поділу в рівних частках між нею і колишнім чоловіком. На думку Євгена, квартира є його особистою приватною власністю, оскільки була безоплатно передана йому державою. А будь який дарунок є особистою приватною власністю.</w:t>
      </w:r>
    </w:p>
    <w:p w:rsidR="0091727F" w:rsidRPr="00E54999" w:rsidRDefault="0091727F" w:rsidP="00830955">
      <w:pPr>
        <w:widowControl w:val="0"/>
        <w:ind w:firstLine="540"/>
        <w:jc w:val="both"/>
        <w:rPr>
          <w:i/>
        </w:rPr>
      </w:pPr>
      <w:r w:rsidRPr="00E54999">
        <w:rPr>
          <w:i/>
        </w:rPr>
        <w:t>Дайте правовий аналіз ситуації. Як вирішити спір?</w:t>
      </w:r>
    </w:p>
    <w:p w:rsidR="0091727F" w:rsidRPr="00E54999" w:rsidRDefault="0091727F" w:rsidP="00830955">
      <w:pPr>
        <w:pStyle w:val="BodyText"/>
        <w:ind w:firstLine="567"/>
        <w:rPr>
          <w:rFonts w:ascii="Times New Roman" w:hAnsi="Times New Roman"/>
          <w:b w:val="0"/>
          <w:sz w:val="24"/>
          <w:szCs w:val="24"/>
        </w:rPr>
      </w:pPr>
      <w:r w:rsidRPr="00E54999">
        <w:rPr>
          <w:rFonts w:ascii="Times New Roman" w:hAnsi="Times New Roman"/>
          <w:b w:val="0"/>
          <w:sz w:val="24"/>
          <w:szCs w:val="24"/>
        </w:rPr>
        <w:t>Варіант 5.</w:t>
      </w:r>
    </w:p>
    <w:p w:rsidR="0091727F" w:rsidRPr="00E54999" w:rsidRDefault="0091727F" w:rsidP="00830955">
      <w:pPr>
        <w:widowControl w:val="0"/>
        <w:ind w:firstLine="540"/>
        <w:jc w:val="both"/>
      </w:pPr>
      <w:r w:rsidRPr="00E54999">
        <w:t>Козяков проживав однією сім’єю з Требух протягом 10 років не реєструючи шлюб. За період спільного життя вони збудували будинок на земельній ділянці власником якої була Требух. Козяков просив розділити цей будинок та визнати за ним право власності на ½ будинку, оскільки останній було збудовано безпосередньо Козяковим (за фахом – будівельник) і за його гроші. Требух протягом цих 10 років не працювала і знаходилася на утриманні Козякова.</w:t>
      </w:r>
    </w:p>
    <w:p w:rsidR="0091727F" w:rsidRPr="00E54999" w:rsidRDefault="0091727F" w:rsidP="00830955">
      <w:pPr>
        <w:widowControl w:val="0"/>
        <w:ind w:firstLine="540"/>
        <w:jc w:val="both"/>
        <w:rPr>
          <w:i/>
        </w:rPr>
      </w:pPr>
      <w:r w:rsidRPr="00E54999">
        <w:rPr>
          <w:i/>
        </w:rPr>
        <w:t>Як повинно бути поділено майно в даному випадку?</w:t>
      </w:r>
    </w:p>
    <w:p w:rsidR="0091727F" w:rsidRDefault="0091727F">
      <w:bookmarkStart w:id="0" w:name="_GoBack"/>
      <w:bookmarkEnd w:id="0"/>
    </w:p>
    <w:sectPr w:rsidR="0091727F"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955"/>
    <w:rsid w:val="00207971"/>
    <w:rsid w:val="00207AD2"/>
    <w:rsid w:val="004B4468"/>
    <w:rsid w:val="00595E57"/>
    <w:rsid w:val="00657FB7"/>
    <w:rsid w:val="00830955"/>
    <w:rsid w:val="0091727F"/>
    <w:rsid w:val="00AA6E4B"/>
    <w:rsid w:val="00C721BD"/>
    <w:rsid w:val="00E54999"/>
    <w:rsid w:val="00ED7B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55"/>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30955"/>
    <w:pPr>
      <w:widowControl w:val="0"/>
      <w:overflowPunct w:val="0"/>
      <w:autoSpaceDE w:val="0"/>
      <w:autoSpaceDN w:val="0"/>
      <w:adjustRightInd w:val="0"/>
      <w:jc w:val="both"/>
      <w:textAlignment w:val="baseline"/>
    </w:pPr>
    <w:rPr>
      <w:rFonts w:ascii="Arial" w:hAnsi="Arial"/>
      <w:b/>
      <w:sz w:val="28"/>
      <w:szCs w:val="20"/>
    </w:rPr>
  </w:style>
  <w:style w:type="character" w:customStyle="1" w:styleId="BodyTextChar">
    <w:name w:val="Body Text Char"/>
    <w:basedOn w:val="DefaultParagraphFont"/>
    <w:link w:val="BodyText"/>
    <w:uiPriority w:val="99"/>
    <w:locked/>
    <w:rsid w:val="00830955"/>
    <w:rPr>
      <w:rFonts w:ascii="Arial" w:hAnsi="Arial" w:cs="Times New Roman"/>
      <w:b/>
      <w:sz w:val="20"/>
      <w:szCs w:val="20"/>
      <w:lang w:val="uk-UA" w:eastAsia="ru-RU"/>
    </w:rPr>
  </w:style>
  <w:style w:type="paragraph" w:styleId="ListParagraph">
    <w:name w:val="List Paragraph"/>
    <w:basedOn w:val="Normal"/>
    <w:uiPriority w:val="99"/>
    <w:qFormat/>
    <w:rsid w:val="00830955"/>
    <w:pPr>
      <w:ind w:left="720"/>
      <w:contextualSpacing/>
    </w:pPr>
  </w:style>
</w:styles>
</file>

<file path=word/webSettings.xml><?xml version="1.0" encoding="utf-8"?>
<w:webSettings xmlns:r="http://schemas.openxmlformats.org/officeDocument/2006/relationships" xmlns:w="http://schemas.openxmlformats.org/wordprocessingml/2006/main">
  <w:divs>
    <w:div w:id="159751508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4457</Words>
  <Characters>2541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Customer</cp:lastModifiedBy>
  <cp:revision>2</cp:revision>
  <dcterms:created xsi:type="dcterms:W3CDTF">2016-09-19T13:28:00Z</dcterms:created>
  <dcterms:modified xsi:type="dcterms:W3CDTF">2018-09-30T23:19:00Z</dcterms:modified>
</cp:coreProperties>
</file>