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FC" w:rsidRDefault="008C3FFC" w:rsidP="002C110B">
      <w:pPr>
        <w:pStyle w:val="a4"/>
        <w:rPr>
          <w:lang w:val="ru-RU"/>
        </w:rPr>
      </w:pPr>
      <w:r>
        <w:rPr>
          <w:rFonts w:ascii="Helvetica Neue" w:hAnsi="Helvetica Neue"/>
          <w:color w:val="333333"/>
          <w:sz w:val="16"/>
          <w:szCs w:val="16"/>
          <w:shd w:val="clear" w:color="auto" w:fill="FFFFFF"/>
        </w:rPr>
        <w:t>АЕРО-2018. Повітряне і космічне право: [Матеріали Всеукраїнської конференції молодих учених і студентів, м. Київ, Національний авіаційний університет, 22 листопада 2018 р.] Том 1</w:t>
      </w:r>
    </w:p>
    <w:p w:rsidR="002C110B" w:rsidRPr="00410E9C" w:rsidRDefault="002C110B" w:rsidP="002C110B">
      <w:pPr>
        <w:pStyle w:val="a4"/>
      </w:pPr>
      <w:r w:rsidRPr="00410E9C">
        <w:t>УДК 347.826(043.2)</w:t>
      </w:r>
    </w:p>
    <w:p w:rsidR="002C110B" w:rsidRPr="008F2A66" w:rsidRDefault="002C110B" w:rsidP="002C110B">
      <w:pPr>
        <w:pStyle w:val="a9"/>
      </w:pPr>
      <w:bookmarkStart w:id="0" w:name="_Toc528846111"/>
      <w:r w:rsidRPr="008F2A66">
        <w:rPr>
          <w:rStyle w:val="20"/>
        </w:rPr>
        <w:t>Грекова Л. Ю.,</w:t>
      </w:r>
      <w:bookmarkEnd w:id="0"/>
      <w:r w:rsidRPr="008F2A66">
        <w:t xml:space="preserve"> асистент,</w:t>
      </w:r>
    </w:p>
    <w:p w:rsidR="002C110B" w:rsidRPr="008F2A66" w:rsidRDefault="002C110B" w:rsidP="002C110B">
      <w:pPr>
        <w:pStyle w:val="a9"/>
      </w:pPr>
      <w:bookmarkStart w:id="1" w:name="_Toc528846112"/>
      <w:proofErr w:type="spellStart"/>
      <w:r w:rsidRPr="008F2A66">
        <w:rPr>
          <w:rStyle w:val="20"/>
        </w:rPr>
        <w:t>Гуцал</w:t>
      </w:r>
      <w:proofErr w:type="spellEnd"/>
      <w:r w:rsidRPr="008F2A66">
        <w:rPr>
          <w:rStyle w:val="20"/>
        </w:rPr>
        <w:t xml:space="preserve"> І. Ю.</w:t>
      </w:r>
      <w:bookmarkEnd w:id="1"/>
      <w:r w:rsidRPr="008F2A66">
        <w:rPr>
          <w:b/>
        </w:rPr>
        <w:t>,</w:t>
      </w:r>
      <w:r w:rsidRPr="008F2A66">
        <w:t xml:space="preserve"> студентка,</w:t>
      </w:r>
    </w:p>
    <w:p w:rsidR="002C110B" w:rsidRPr="008F2A66" w:rsidRDefault="002C110B" w:rsidP="002C110B">
      <w:pPr>
        <w:pStyle w:val="a9"/>
      </w:pPr>
      <w:r w:rsidRPr="008F2A66">
        <w:t>Навчально-науковий юридичний інститут,</w:t>
      </w:r>
    </w:p>
    <w:p w:rsidR="002C110B" w:rsidRPr="008F2A66" w:rsidRDefault="002C110B" w:rsidP="002C110B">
      <w:pPr>
        <w:pStyle w:val="a9"/>
      </w:pPr>
      <w:r w:rsidRPr="008F2A66">
        <w:t>Національний авіаційний університет, м. Київ</w:t>
      </w:r>
    </w:p>
    <w:p w:rsidR="002C110B" w:rsidRPr="00410E9C" w:rsidRDefault="002C110B" w:rsidP="002C110B">
      <w:pPr>
        <w:pStyle w:val="3"/>
      </w:pPr>
      <w:bookmarkStart w:id="2" w:name="_Toc528846113"/>
      <w:r w:rsidRPr="00410E9C">
        <w:t>ОБСТАВИНИ, ЩО ПІДЛЯГАЮТЬ ВСТАНОВЛЕННЮ ПРИ РОЗСЛІДУВАННІ ВЧИНЕННЯ ТЕРОРИСТИЧНОГО АКТУ</w:t>
      </w:r>
      <w:r>
        <w:t xml:space="preserve"> </w:t>
      </w:r>
      <w:r w:rsidRPr="00410E9C">
        <w:t>НА</w:t>
      </w:r>
      <w:r>
        <w:t> </w:t>
      </w:r>
      <w:r w:rsidRPr="008F2A66">
        <w:t>ПОВІТРЯНОМУ</w:t>
      </w:r>
      <w:r w:rsidRPr="00410E9C">
        <w:t xml:space="preserve"> СУДНІ</w:t>
      </w:r>
      <w:bookmarkEnd w:id="2"/>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В умовах сьогодення прояви тероризму не є рідкісним явищем, як у світі, так і на території нашої держави. Основна складність боротьби з тероризмом полягає в тому, що він являє собою унікальне явище, яке вражає всі країни незалежно від рівня соціально-політичного, економічного й культурного розвитку. Терористичний акт, вчинений борту повітряного судна, практично не залишає шансів на порятунок пасажирам та екіпажу, які автоматично стають заручниками ситуації.</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Посилення боротьби з проявами тероризму з огляду на їх особливу суспільну небезпеку є невідкладним завданням правоохоронних органів [1].</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xml:space="preserve">У Законі України «Про боротьбу з тероризмом» це явище трактується як суспільно небезпечна діяльність, яка полягає у свідомому, цілеспрямованому застосуванні насильства шляхом захоплення заручників, підпалів, вбивств,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[2]. Вчинення терористичних актів на повітряному транспорті </w:t>
      </w:r>
      <w:proofErr w:type="spellStart"/>
      <w:r w:rsidRPr="002C110B">
        <w:rPr>
          <w:rFonts w:ascii="Times New Roman" w:hAnsi="Times New Roman" w:cs="Times New Roman"/>
          <w:sz w:val="28"/>
          <w:szCs w:val="28"/>
        </w:rPr>
        <w:t>зачасту</w:t>
      </w:r>
      <w:proofErr w:type="spellEnd"/>
      <w:r w:rsidRPr="002C110B">
        <w:rPr>
          <w:rFonts w:ascii="Times New Roman" w:hAnsi="Times New Roman" w:cs="Times New Roman"/>
          <w:sz w:val="28"/>
          <w:szCs w:val="28"/>
        </w:rPr>
        <w:t xml:space="preserve"> призводить до катастроф - авіаційних подій з людськими жертвами.</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xml:space="preserve">Процес розслідування таких злочинів </w:t>
      </w:r>
      <w:proofErr w:type="spellStart"/>
      <w:r w:rsidRPr="002C110B">
        <w:rPr>
          <w:rFonts w:ascii="Times New Roman" w:hAnsi="Times New Roman" w:cs="Times New Roman"/>
          <w:sz w:val="28"/>
          <w:szCs w:val="28"/>
        </w:rPr>
        <w:t>грунтується</w:t>
      </w:r>
      <w:proofErr w:type="spellEnd"/>
      <w:r w:rsidRPr="002C110B">
        <w:rPr>
          <w:rFonts w:ascii="Times New Roman" w:hAnsi="Times New Roman" w:cs="Times New Roman"/>
          <w:sz w:val="28"/>
          <w:szCs w:val="28"/>
        </w:rPr>
        <w:t xml:space="preserve"> на нормах національного законодавства, а також на основі міжнародних договорів.</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Відповідно до чинного кримінального процесуального законодавства, доказування полягає у збиранні, перевірці та оцінці доказів з метою встановлення обставин, що мають значення для кримінального провадження.</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xml:space="preserve">Визначаючи обставини, що підлягають доказуванню, зауважимо, що у ст. 91 КПК України викладено перелік обставин, що належать до предмету </w:t>
      </w:r>
      <w:r w:rsidRPr="002C110B">
        <w:rPr>
          <w:rFonts w:ascii="Times New Roman" w:hAnsi="Times New Roman" w:cs="Times New Roman"/>
          <w:sz w:val="28"/>
          <w:szCs w:val="28"/>
        </w:rPr>
        <w:lastRenderedPageBreak/>
        <w:t>доказування у кримінальному провадженні, які є відповіддю на питання, встановлення яких фактів і обставин є метою доказування.</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xml:space="preserve">Такий перелік обставин має </w:t>
      </w:r>
      <w:proofErr w:type="spellStart"/>
      <w:r w:rsidRPr="002C110B">
        <w:rPr>
          <w:rFonts w:ascii="Times New Roman" w:hAnsi="Times New Roman" w:cs="Times New Roman"/>
          <w:sz w:val="28"/>
          <w:szCs w:val="28"/>
        </w:rPr>
        <w:t>загальноорієнтуючий</w:t>
      </w:r>
      <w:proofErr w:type="spellEnd"/>
      <w:r w:rsidRPr="002C110B">
        <w:rPr>
          <w:rFonts w:ascii="Times New Roman" w:hAnsi="Times New Roman" w:cs="Times New Roman"/>
          <w:sz w:val="28"/>
          <w:szCs w:val="28"/>
        </w:rPr>
        <w:t xml:space="preserve"> характер, стосується розслідування усіх кримінальних правопорушень та недостатньо конкретизований щодо певних категорій злочинів. Водночас переліки таких обставин для окремих видів кримінальних проваджень є специфічними й залежать від ознак складу правопорушення. Саме тому дослідження обставин, що підлягають встановленню та доказуванню у кримінальних провадженнях, необхідно визнати невід’ємним елементом окремих методик розслідування кримінальних правопорушень [4, c. 176-177].</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Оскільки злочин, у тому числі й вчинення терористичного акту на борту повітряного судна є унікальним за своєю природою, тому дані обставини не можуть бути у кожному провадженні однаковими. Проте, аналіз практичних напрацювань із розслідування злочинів тієї чи іншої категорії дає можливість криміналістам встановлювати наявність певних повторювань обставин, і у своїх науково-методичних рекомендаціях вести про них мову як про поширені або типові.</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В.А. Журавель зазначає, що обставини, які підлягають з’ясуванню, є результатом синтезу кримінально-процесуальних норм щодо визначення предмета доказування по кримінальному провадженню, передбачених чинним законодавством, а також кримінально-правових і криміналістичних ознак злочинів певного різновиду [3, с. 178].</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З огляду на викладене, а також на основі узагальнення практики досудового розслідування за фактами злочинів досліджуваної категорії, вважаємо, що до типових обставин, які підлягають встановленню при розслідуванні вчинення терористичного акту на повітряному судні, можна віднести наступні:</w:t>
      </w:r>
    </w:p>
    <w:p w:rsidR="002C110B" w:rsidRPr="002C110B" w:rsidRDefault="008C3FFC" w:rsidP="002C110B">
      <w:pPr>
        <w:ind w:firstLine="510"/>
        <w:jc w:val="both"/>
        <w:rPr>
          <w:rFonts w:ascii="Times New Roman" w:hAnsi="Times New Roman" w:cs="Times New Roman"/>
          <w:sz w:val="28"/>
          <w:szCs w:val="28"/>
        </w:rPr>
      </w:pPr>
      <w:r>
        <w:rPr>
          <w:rFonts w:ascii="Times New Roman" w:hAnsi="Times New Roman" w:cs="Times New Roman"/>
          <w:sz w:val="28"/>
          <w:szCs w:val="28"/>
        </w:rPr>
        <w:t>1) встановлення факту вчине</w:t>
      </w:r>
      <w:r w:rsidR="002C110B" w:rsidRPr="002C110B">
        <w:rPr>
          <w:rFonts w:ascii="Times New Roman" w:hAnsi="Times New Roman" w:cs="Times New Roman"/>
          <w:sz w:val="28"/>
          <w:szCs w:val="28"/>
        </w:rPr>
        <w:t>ння терористичного акту на борту повітряного судна, способу вчинення даного злочину та встановлення факту застосування знарядь вчинення злочину, обстановки вчинення злочину; інформація щодо наявності свідків терористичного акту, встановлення причинного зв’язку між дією особи, наміром заподіяти шкоду літаку, життю та здоров’ю осіб на борту; чи мала місце подія у просторі та часі; чи вчинено напад; якою була мета і чи була вона взагалі;</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2) встановлення конкретних фактичних даних, які свідчать, що умислом злочинців охоплювались виявлені час, місце, спосіб вчинення злочину, настання злочинних наслідків, а також підготовча злочинна діяльність:</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lastRenderedPageBreak/>
        <w:t>– встановлення способу вчинення терористичного акту на борту повітряного судна, а саме: приведення в дію вибухового пристрою терористами-смертниками, застосування «пояса шахіда», вчинення підриву дистанційно, що є передумовами визначення форми вини під час вирішення питання про притягнення особи до кримінальної відповідальності;</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встановлення фактів корегування злочинцями своїх дій під час підготовки або вчинення злочину в разі зміни обстановки;</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підшукування співучасників;</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 xml:space="preserve">– встановлення місцезнаходження радіоелектронного засобу (мобільного терміналу систем зв’язку та інших </w:t>
      </w:r>
      <w:proofErr w:type="spellStart"/>
      <w:r w:rsidRPr="002C110B">
        <w:rPr>
          <w:rFonts w:ascii="Times New Roman" w:hAnsi="Times New Roman" w:cs="Times New Roman"/>
          <w:sz w:val="28"/>
          <w:szCs w:val="28"/>
        </w:rPr>
        <w:t>радіовипромінювальних</w:t>
      </w:r>
      <w:proofErr w:type="spellEnd"/>
      <w:r w:rsidRPr="002C110B">
        <w:rPr>
          <w:rFonts w:ascii="Times New Roman" w:hAnsi="Times New Roman" w:cs="Times New Roman"/>
          <w:sz w:val="28"/>
          <w:szCs w:val="28"/>
        </w:rPr>
        <w:t xml:space="preserve"> пристроїв, активованих у мережах операторів рухомого (мобільного) зв’язку, тобто мобільного телефону, GSM, UMTS, HSDPA, </w:t>
      </w:r>
      <w:proofErr w:type="spellStart"/>
      <w:r w:rsidRPr="002C110B">
        <w:rPr>
          <w:rFonts w:ascii="Times New Roman" w:hAnsi="Times New Roman" w:cs="Times New Roman"/>
          <w:sz w:val="28"/>
          <w:szCs w:val="28"/>
        </w:rPr>
        <w:t>WiMAX</w:t>
      </w:r>
      <w:proofErr w:type="spellEnd"/>
      <w:r w:rsidRPr="002C110B">
        <w:rPr>
          <w:rFonts w:ascii="Times New Roman" w:hAnsi="Times New Roman" w:cs="Times New Roman"/>
          <w:sz w:val="28"/>
          <w:szCs w:val="28"/>
        </w:rPr>
        <w:t xml:space="preserve">, LTE модемів, що забезпечують бездротовий доступ до мережі Інтернет, та інших </w:t>
      </w:r>
      <w:proofErr w:type="spellStart"/>
      <w:r w:rsidRPr="002C110B">
        <w:rPr>
          <w:rFonts w:ascii="Times New Roman" w:hAnsi="Times New Roman" w:cs="Times New Roman"/>
          <w:sz w:val="28"/>
          <w:szCs w:val="28"/>
        </w:rPr>
        <w:t>радіовипромінювальних</w:t>
      </w:r>
      <w:proofErr w:type="spellEnd"/>
      <w:r w:rsidRPr="002C110B">
        <w:rPr>
          <w:rFonts w:ascii="Times New Roman" w:hAnsi="Times New Roman" w:cs="Times New Roman"/>
          <w:sz w:val="28"/>
          <w:szCs w:val="28"/>
        </w:rPr>
        <w:t xml:space="preserve"> пристроїв, активованих у мережах операторів рухомого (мобільного) зв’язку тощо, що дозволяє встановити місцезнаходження у певний час або проміжок часу до, під час або після вчинення злочину в конкретному місці радіоелектронних засобів та інших </w:t>
      </w:r>
      <w:proofErr w:type="spellStart"/>
      <w:r w:rsidRPr="002C110B">
        <w:rPr>
          <w:rFonts w:ascii="Times New Roman" w:hAnsi="Times New Roman" w:cs="Times New Roman"/>
          <w:sz w:val="28"/>
          <w:szCs w:val="28"/>
        </w:rPr>
        <w:t>радіовипромінювальних</w:t>
      </w:r>
      <w:proofErr w:type="spellEnd"/>
      <w:r w:rsidRPr="002C110B">
        <w:rPr>
          <w:rFonts w:ascii="Times New Roman" w:hAnsi="Times New Roman" w:cs="Times New Roman"/>
          <w:sz w:val="28"/>
          <w:szCs w:val="28"/>
        </w:rPr>
        <w:t xml:space="preserve"> пристроїв, що належать та (або) були у користуванні у цей час у осіб, котрі можуть бути причетними до вчинення злочину.</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3) встановлення шляхів і джерел фінансування терористичного акту на борту повітряного судна;</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4) безпосередньо встановлення особи злочинця;</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5) зв’язки між особою, яка вчинила терористичний акт та іншими особами, що знаходились на борту літака;</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6) обставини, що є підставою для звільнення від кримінальної відповідальності або покарання, а також обставини, які впливають на ступінь тяжкості кримінального правопорушення передбаченого ст. 258 Кримінального кодексу України.</w:t>
      </w:r>
    </w:p>
    <w:p w:rsidR="002C110B" w:rsidRPr="002C110B" w:rsidRDefault="002C110B" w:rsidP="002C110B">
      <w:pPr>
        <w:ind w:firstLine="510"/>
        <w:jc w:val="both"/>
        <w:rPr>
          <w:rFonts w:ascii="Times New Roman" w:hAnsi="Times New Roman" w:cs="Times New Roman"/>
          <w:sz w:val="28"/>
          <w:szCs w:val="28"/>
        </w:rPr>
      </w:pPr>
      <w:r w:rsidRPr="002C110B">
        <w:rPr>
          <w:rFonts w:ascii="Times New Roman" w:hAnsi="Times New Roman" w:cs="Times New Roman"/>
          <w:sz w:val="28"/>
          <w:szCs w:val="28"/>
        </w:rPr>
        <w:t>Перелік типових обставин злочину може бути доповненим залежно від ситуацій події.</w:t>
      </w:r>
    </w:p>
    <w:p w:rsidR="002C110B" w:rsidRPr="002C110B" w:rsidRDefault="002C110B" w:rsidP="002C110B">
      <w:pPr>
        <w:pStyle w:val="a7"/>
        <w:jc w:val="both"/>
        <w:rPr>
          <w:rFonts w:ascii="Times New Roman" w:hAnsi="Times New Roman" w:cs="Times New Roman"/>
        </w:rPr>
      </w:pPr>
      <w:r w:rsidRPr="002C110B">
        <w:rPr>
          <w:rFonts w:ascii="Times New Roman" w:hAnsi="Times New Roman" w:cs="Times New Roman"/>
        </w:rPr>
        <w:t>Література</w:t>
      </w:r>
    </w:p>
    <w:p w:rsidR="002C110B" w:rsidRPr="002C110B" w:rsidRDefault="002C110B" w:rsidP="002C110B">
      <w:pPr>
        <w:pStyle w:val="a6"/>
        <w:rPr>
          <w:rFonts w:ascii="Times New Roman" w:hAnsi="Times New Roman" w:cs="Times New Roman"/>
        </w:rPr>
      </w:pPr>
      <w:r w:rsidRPr="002C110B">
        <w:rPr>
          <w:rFonts w:ascii="Times New Roman" w:hAnsi="Times New Roman" w:cs="Times New Roman"/>
        </w:rPr>
        <w:t>1. </w:t>
      </w:r>
      <w:proofErr w:type="spellStart"/>
      <w:r w:rsidRPr="002C110B">
        <w:rPr>
          <w:rFonts w:ascii="Times New Roman" w:hAnsi="Times New Roman" w:cs="Times New Roman"/>
        </w:rPr>
        <w:t>Грібов</w:t>
      </w:r>
      <w:proofErr w:type="spellEnd"/>
      <w:r w:rsidRPr="002C110B">
        <w:rPr>
          <w:rFonts w:ascii="Times New Roman" w:hAnsi="Times New Roman" w:cs="Times New Roman"/>
        </w:rPr>
        <w:t xml:space="preserve"> М.Л. Нове актуальне дослідження кримінально-процесуальних та криміналістичних засад початкового етапу розслідування терористичних актів, вчинених з використанням саморобного вибухового пристрою: рецензія на монографію </w:t>
      </w:r>
      <w:proofErr w:type="spellStart"/>
      <w:r w:rsidRPr="002C110B">
        <w:rPr>
          <w:rFonts w:ascii="Times New Roman" w:hAnsi="Times New Roman" w:cs="Times New Roman"/>
        </w:rPr>
        <w:t>Погорецького</w:t>
      </w:r>
      <w:proofErr w:type="spellEnd"/>
      <w:r w:rsidRPr="002C110B">
        <w:rPr>
          <w:rFonts w:ascii="Times New Roman" w:hAnsi="Times New Roman" w:cs="Times New Roman"/>
        </w:rPr>
        <w:t xml:space="preserve"> М.А., </w:t>
      </w:r>
      <w:proofErr w:type="spellStart"/>
      <w:r w:rsidRPr="002C110B">
        <w:rPr>
          <w:rFonts w:ascii="Times New Roman" w:hAnsi="Times New Roman" w:cs="Times New Roman"/>
        </w:rPr>
        <w:t>Ленко</w:t>
      </w:r>
      <w:proofErr w:type="spellEnd"/>
      <w:r w:rsidRPr="002C110B">
        <w:rPr>
          <w:rFonts w:ascii="Times New Roman" w:hAnsi="Times New Roman" w:cs="Times New Roman"/>
        </w:rPr>
        <w:t> М.О., Сергєєвої Д.Б. / М.Л. </w:t>
      </w:r>
      <w:proofErr w:type="spellStart"/>
      <w:r w:rsidRPr="002C110B">
        <w:rPr>
          <w:rFonts w:ascii="Times New Roman" w:hAnsi="Times New Roman" w:cs="Times New Roman"/>
        </w:rPr>
        <w:t>Грібов</w:t>
      </w:r>
      <w:proofErr w:type="spellEnd"/>
      <w:r w:rsidRPr="002C110B">
        <w:rPr>
          <w:rFonts w:ascii="Times New Roman" w:hAnsi="Times New Roman" w:cs="Times New Roman"/>
        </w:rPr>
        <w:t>, О.О. Подобний // Вісник кримінального судочинства. – 2015. – № 2. – С. 275.</w:t>
      </w:r>
    </w:p>
    <w:p w:rsidR="002C110B" w:rsidRPr="002C110B" w:rsidRDefault="008C3FFC" w:rsidP="002C110B">
      <w:pPr>
        <w:pStyle w:val="a6"/>
        <w:rPr>
          <w:rFonts w:ascii="Times New Roman" w:hAnsi="Times New Roman" w:cs="Times New Roman"/>
          <w:bCs/>
        </w:rPr>
      </w:pPr>
      <w:r>
        <w:rPr>
          <w:rFonts w:ascii="Times New Roman" w:hAnsi="Times New Roman" w:cs="Times New Roman"/>
        </w:rPr>
        <w:t>2. Про боротьбу з тер</w:t>
      </w:r>
      <w:r w:rsidR="002C110B" w:rsidRPr="002C110B">
        <w:rPr>
          <w:rFonts w:ascii="Times New Roman" w:hAnsi="Times New Roman" w:cs="Times New Roman"/>
        </w:rPr>
        <w:t>оризмом: Закон України від 20 березня 2003 р. №</w:t>
      </w:r>
      <w:r w:rsidR="002C110B" w:rsidRPr="002C110B">
        <w:rPr>
          <w:rFonts w:ascii="Times New Roman" w:hAnsi="Times New Roman" w:cs="Times New Roman"/>
          <w:shd w:val="clear" w:color="auto" w:fill="FFFFFF"/>
        </w:rPr>
        <w:t> 638-</w:t>
      </w:r>
      <w:r w:rsidR="002C110B" w:rsidRPr="002C110B">
        <w:rPr>
          <w:rFonts w:ascii="Times New Roman" w:hAnsi="Times New Roman" w:cs="Times New Roman"/>
          <w:shd w:val="clear" w:color="auto" w:fill="FFFFFF"/>
        </w:rPr>
        <w:lastRenderedPageBreak/>
        <w:t>IV // Відомості Верховної Ради України. – 2003. – №</w:t>
      </w:r>
      <w:r w:rsidR="002C110B" w:rsidRPr="002C110B">
        <w:rPr>
          <w:rFonts w:ascii="Times New Roman" w:hAnsi="Times New Roman" w:cs="Times New Roman"/>
        </w:rPr>
        <w:t> </w:t>
      </w:r>
      <w:r w:rsidR="002C110B" w:rsidRPr="002C110B">
        <w:rPr>
          <w:rFonts w:ascii="Times New Roman" w:hAnsi="Times New Roman" w:cs="Times New Roman"/>
          <w:shd w:val="clear" w:color="auto" w:fill="FFFFFF"/>
        </w:rPr>
        <w:t>25. – Ст.</w:t>
      </w:r>
      <w:r w:rsidR="002C110B" w:rsidRPr="002C110B">
        <w:rPr>
          <w:rFonts w:ascii="Times New Roman" w:hAnsi="Times New Roman" w:cs="Times New Roman"/>
        </w:rPr>
        <w:t> </w:t>
      </w:r>
      <w:r w:rsidR="002C110B" w:rsidRPr="002C110B">
        <w:rPr>
          <w:rFonts w:ascii="Times New Roman" w:hAnsi="Times New Roman" w:cs="Times New Roman"/>
          <w:shd w:val="clear" w:color="auto" w:fill="FFFFFF"/>
        </w:rPr>
        <w:t>180.</w:t>
      </w:r>
    </w:p>
    <w:p w:rsidR="002C110B" w:rsidRPr="002C110B" w:rsidRDefault="002C110B" w:rsidP="002C110B">
      <w:pPr>
        <w:pStyle w:val="a6"/>
        <w:rPr>
          <w:rFonts w:ascii="Times New Roman" w:hAnsi="Times New Roman" w:cs="Times New Roman"/>
        </w:rPr>
      </w:pPr>
      <w:r w:rsidRPr="002C110B">
        <w:rPr>
          <w:rFonts w:ascii="Times New Roman" w:hAnsi="Times New Roman" w:cs="Times New Roman"/>
        </w:rPr>
        <w:t>3. Журавель В.А. Криміналістичні методики: сучасні наукові концепції: монографія / В.А. Журавель. – Х.: Вид. агенція «Апостиль», 2012. – 304 с.</w:t>
      </w:r>
    </w:p>
    <w:p w:rsidR="00000000" w:rsidRDefault="00696F99">
      <w:pPr>
        <w:rPr>
          <w:lang w:val="ru-RU"/>
        </w:rPr>
      </w:pPr>
    </w:p>
    <w:p w:rsidR="008C3FFC" w:rsidRPr="00696F99" w:rsidRDefault="008C3FFC" w:rsidP="008C3FFC">
      <w:pPr>
        <w:ind w:firstLine="510"/>
        <w:jc w:val="both"/>
        <w:rPr>
          <w:rFonts w:ascii="Times New Roman" w:hAnsi="Times New Roman" w:cs="Times New Roman"/>
          <w:sz w:val="28"/>
          <w:szCs w:val="28"/>
          <w:lang w:val="ru-RU"/>
        </w:rPr>
      </w:pPr>
      <w:r w:rsidRPr="00696F99">
        <w:rPr>
          <w:rFonts w:ascii="Times New Roman" w:hAnsi="Times New Roman" w:cs="Times New Roman"/>
          <w:sz w:val="28"/>
          <w:szCs w:val="28"/>
          <w:shd w:val="clear" w:color="auto" w:fill="FFFFFF"/>
        </w:rPr>
        <w:t>АЕРО-2018. Повітряне і космічне право: [Матеріали Всеукраїнської конференції молодих учених і студентів, м. Київ, Національний авіаційний університет, 22 листопада 2018 р.] Том 1</w:t>
      </w:r>
      <w:r w:rsidRPr="00696F99">
        <w:rPr>
          <w:rFonts w:ascii="Times New Roman" w:hAnsi="Times New Roman" w:cs="Times New Roman"/>
          <w:sz w:val="28"/>
          <w:szCs w:val="28"/>
          <w:shd w:val="clear" w:color="auto" w:fill="FFFFFF"/>
          <w:lang w:val="ru-RU"/>
        </w:rPr>
        <w:t xml:space="preserve">. </w:t>
      </w:r>
      <w:proofErr w:type="spellStart"/>
      <w:r w:rsidRPr="00696F99">
        <w:rPr>
          <w:rFonts w:ascii="Times New Roman" w:hAnsi="Times New Roman" w:cs="Times New Roman"/>
          <w:sz w:val="28"/>
          <w:szCs w:val="28"/>
          <w:shd w:val="clear" w:color="auto" w:fill="FFFFFF"/>
          <w:lang w:val="ru-RU"/>
        </w:rPr>
        <w:t>Терноп</w:t>
      </w:r>
      <w:r w:rsidRPr="00696F99">
        <w:rPr>
          <w:rFonts w:ascii="Times New Roman" w:hAnsi="Times New Roman" w:cs="Times New Roman"/>
          <w:sz w:val="28"/>
          <w:szCs w:val="28"/>
          <w:shd w:val="clear" w:color="auto" w:fill="FFFFFF"/>
        </w:rPr>
        <w:t>іль</w:t>
      </w:r>
      <w:proofErr w:type="spellEnd"/>
      <w:r w:rsidRPr="00696F99">
        <w:rPr>
          <w:rFonts w:ascii="Times New Roman" w:hAnsi="Times New Roman" w:cs="Times New Roman"/>
          <w:sz w:val="28"/>
          <w:szCs w:val="28"/>
          <w:shd w:val="clear" w:color="auto" w:fill="FFFFFF"/>
        </w:rPr>
        <w:t xml:space="preserve">: Вектор. – </w:t>
      </w:r>
      <w:r w:rsidRPr="00696F99">
        <w:rPr>
          <w:rFonts w:ascii="Times New Roman" w:hAnsi="Times New Roman" w:cs="Times New Roman"/>
          <w:sz w:val="28"/>
          <w:szCs w:val="28"/>
          <w:shd w:val="clear" w:color="auto" w:fill="FFFFFF"/>
          <w:lang w:val="ru-RU"/>
        </w:rPr>
        <w:t>С. 213-216.</w:t>
      </w:r>
    </w:p>
    <w:sectPr w:rsidR="008C3FFC" w:rsidRPr="00696F9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hyphenationZone w:val="425"/>
  <w:characterSpacingControl w:val="doNotCompress"/>
  <w:compat>
    <w:useFELayout/>
  </w:compat>
  <w:rsids>
    <w:rsidRoot w:val="002C110B"/>
    <w:rsid w:val="002C110B"/>
    <w:rsid w:val="00520A4D"/>
    <w:rsid w:val="00696F99"/>
    <w:rsid w:val="008C3F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qFormat/>
    <w:rsid w:val="002C110B"/>
    <w:pPr>
      <w:keepNext/>
      <w:suppressAutoHyphens/>
      <w:spacing w:before="240" w:after="0" w:line="240" w:lineRule="auto"/>
      <w:jc w:val="right"/>
      <w:outlineLvl w:val="1"/>
    </w:pPr>
    <w:rPr>
      <w:rFonts w:ascii="Arial" w:eastAsia="Times New Roman" w:hAnsi="Arial" w:cs="Arial"/>
      <w:b/>
      <w:bCs/>
      <w:color w:val="000000"/>
      <w:sz w:val="30"/>
      <w:szCs w:val="30"/>
      <w:lang w:eastAsia="zh-CN"/>
    </w:rPr>
  </w:style>
  <w:style w:type="paragraph" w:styleId="3">
    <w:name w:val="heading 3"/>
    <w:basedOn w:val="a"/>
    <w:next w:val="a"/>
    <w:link w:val="30"/>
    <w:uiPriority w:val="9"/>
    <w:qFormat/>
    <w:rsid w:val="002C110B"/>
    <w:pPr>
      <w:keepNext/>
      <w:keepLines/>
      <w:spacing w:before="480" w:after="120" w:line="240" w:lineRule="auto"/>
      <w:jc w:val="center"/>
      <w:outlineLvl w:val="2"/>
    </w:pPr>
    <w:rPr>
      <w:rFonts w:ascii="Arial" w:eastAsia="Times New Roman" w:hAnsi="Arial" w:cs="Arial"/>
      <w:b/>
      <w:bCs/>
      <w:caps/>
      <w:color w:val="000000"/>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110B"/>
    <w:rPr>
      <w:rFonts w:ascii="Arial" w:eastAsia="Times New Roman" w:hAnsi="Arial" w:cs="Arial"/>
      <w:b/>
      <w:bCs/>
      <w:color w:val="000000"/>
      <w:sz w:val="30"/>
      <w:szCs w:val="30"/>
      <w:lang w:eastAsia="zh-CN"/>
    </w:rPr>
  </w:style>
  <w:style w:type="character" w:customStyle="1" w:styleId="30">
    <w:name w:val="Заголовок 3 Знак"/>
    <w:basedOn w:val="a0"/>
    <w:link w:val="3"/>
    <w:uiPriority w:val="9"/>
    <w:rsid w:val="002C110B"/>
    <w:rPr>
      <w:rFonts w:ascii="Arial" w:eastAsia="Times New Roman" w:hAnsi="Arial" w:cs="Arial"/>
      <w:b/>
      <w:bCs/>
      <w:caps/>
      <w:color w:val="000000"/>
      <w:sz w:val="30"/>
      <w:szCs w:val="30"/>
    </w:rPr>
  </w:style>
  <w:style w:type="character" w:customStyle="1" w:styleId="a3">
    <w:name w:val="УДК Знак"/>
    <w:link w:val="a4"/>
    <w:rsid w:val="002C110B"/>
    <w:rPr>
      <w:rFonts w:ascii="Arial" w:hAnsi="Arial" w:cs="Arial"/>
      <w:color w:val="000000"/>
      <w:sz w:val="30"/>
      <w:szCs w:val="30"/>
      <w:lang w:eastAsia="ru-RU"/>
    </w:rPr>
  </w:style>
  <w:style w:type="paragraph" w:customStyle="1" w:styleId="a4">
    <w:name w:val="УДК"/>
    <w:basedOn w:val="a"/>
    <w:link w:val="a3"/>
    <w:rsid w:val="002C110B"/>
    <w:pPr>
      <w:keepNext/>
      <w:widowControl w:val="0"/>
      <w:autoSpaceDE w:val="0"/>
      <w:autoSpaceDN w:val="0"/>
      <w:adjustRightInd w:val="0"/>
      <w:spacing w:before="720" w:after="0" w:line="233" w:lineRule="auto"/>
      <w:jc w:val="both"/>
    </w:pPr>
    <w:rPr>
      <w:rFonts w:ascii="Arial" w:hAnsi="Arial" w:cs="Arial"/>
      <w:color w:val="000000"/>
      <w:sz w:val="30"/>
      <w:szCs w:val="30"/>
      <w:lang w:eastAsia="ru-RU"/>
    </w:rPr>
  </w:style>
  <w:style w:type="character" w:customStyle="1" w:styleId="a5">
    <w:name w:val="літ осн Знак"/>
    <w:link w:val="a6"/>
    <w:uiPriority w:val="99"/>
    <w:locked/>
    <w:rsid w:val="002C110B"/>
    <w:rPr>
      <w:rFonts w:ascii="Arial" w:hAnsi="Arial" w:cs="Arial"/>
      <w:color w:val="000000"/>
      <w:sz w:val="28"/>
      <w:szCs w:val="28"/>
      <w:lang w:eastAsia="ru-RU"/>
    </w:rPr>
  </w:style>
  <w:style w:type="paragraph" w:customStyle="1" w:styleId="a6">
    <w:name w:val="літ осн"/>
    <w:basedOn w:val="a"/>
    <w:link w:val="a5"/>
    <w:autoRedefine/>
    <w:uiPriority w:val="99"/>
    <w:rsid w:val="002C110B"/>
    <w:pPr>
      <w:widowControl w:val="0"/>
      <w:autoSpaceDE w:val="0"/>
      <w:autoSpaceDN w:val="0"/>
      <w:adjustRightInd w:val="0"/>
      <w:spacing w:after="0" w:line="233" w:lineRule="auto"/>
      <w:ind w:firstLine="510"/>
      <w:jc w:val="both"/>
    </w:pPr>
    <w:rPr>
      <w:rFonts w:ascii="Arial" w:hAnsi="Arial" w:cs="Arial"/>
      <w:color w:val="000000"/>
      <w:sz w:val="28"/>
      <w:szCs w:val="28"/>
      <w:lang w:eastAsia="ru-RU"/>
    </w:rPr>
  </w:style>
  <w:style w:type="paragraph" w:customStyle="1" w:styleId="a7">
    <w:name w:val="ЛІТ"/>
    <w:basedOn w:val="a"/>
    <w:link w:val="a8"/>
    <w:uiPriority w:val="99"/>
    <w:rsid w:val="002C110B"/>
    <w:pPr>
      <w:keepNext/>
      <w:widowControl w:val="0"/>
      <w:autoSpaceDE w:val="0"/>
      <w:autoSpaceDN w:val="0"/>
      <w:adjustRightInd w:val="0"/>
      <w:spacing w:before="240" w:after="0" w:line="233" w:lineRule="auto"/>
      <w:jc w:val="center"/>
    </w:pPr>
    <w:rPr>
      <w:rFonts w:ascii="Arial" w:eastAsia="Times New Roman" w:hAnsi="Arial" w:cs="Arial"/>
      <w:i/>
      <w:iCs/>
      <w:color w:val="000000"/>
      <w:sz w:val="28"/>
      <w:szCs w:val="28"/>
      <w:lang w:eastAsia="ru-RU"/>
    </w:rPr>
  </w:style>
  <w:style w:type="paragraph" w:customStyle="1" w:styleId="a9">
    <w:name w:val="Підп"/>
    <w:basedOn w:val="a"/>
    <w:link w:val="aa"/>
    <w:uiPriority w:val="99"/>
    <w:rsid w:val="002C110B"/>
    <w:pPr>
      <w:keepNext/>
      <w:widowControl w:val="0"/>
      <w:autoSpaceDE w:val="0"/>
      <w:autoSpaceDN w:val="0"/>
      <w:adjustRightInd w:val="0"/>
      <w:spacing w:after="0" w:line="233" w:lineRule="auto"/>
      <w:ind w:firstLine="510"/>
      <w:jc w:val="right"/>
    </w:pPr>
    <w:rPr>
      <w:rFonts w:ascii="Arial" w:eastAsia="Times New Roman" w:hAnsi="Arial" w:cs="Arial"/>
      <w:color w:val="000000"/>
      <w:sz w:val="30"/>
      <w:szCs w:val="30"/>
      <w:lang w:eastAsia="ru-RU"/>
    </w:rPr>
  </w:style>
  <w:style w:type="character" w:customStyle="1" w:styleId="a8">
    <w:name w:val="ЛІТ Знак"/>
    <w:link w:val="a7"/>
    <w:uiPriority w:val="99"/>
    <w:rsid w:val="002C110B"/>
    <w:rPr>
      <w:rFonts w:ascii="Arial" w:eastAsia="Times New Roman" w:hAnsi="Arial" w:cs="Arial"/>
      <w:i/>
      <w:iCs/>
      <w:color w:val="000000"/>
      <w:sz w:val="28"/>
      <w:szCs w:val="28"/>
      <w:lang w:eastAsia="ru-RU"/>
    </w:rPr>
  </w:style>
  <w:style w:type="character" w:customStyle="1" w:styleId="aa">
    <w:name w:val="Підп Знак"/>
    <w:link w:val="a9"/>
    <w:uiPriority w:val="99"/>
    <w:rsid w:val="002C110B"/>
    <w:rPr>
      <w:rFonts w:ascii="Arial" w:eastAsia="Times New Roman" w:hAnsi="Arial" w:cs="Arial"/>
      <w:color w:val="000000"/>
      <w:sz w:val="30"/>
      <w:szCs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4507</Words>
  <Characters>2569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2019-02-13T10:23:00Z</dcterms:created>
  <dcterms:modified xsi:type="dcterms:W3CDTF">2019-02-13T10:23:00Z</dcterms:modified>
</cp:coreProperties>
</file>