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09A" w:rsidRPr="0004509A" w:rsidRDefault="0004509A" w:rsidP="0004509A">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r w:rsidRPr="0004509A">
        <w:rPr>
          <w:rFonts w:ascii="Times New Roman" w:eastAsia="Helvetica" w:hAnsi="Times New Roman" w:cs="Times New Roman"/>
          <w:color w:val="000000"/>
          <w:sz w:val="30"/>
          <w:szCs w:val="20"/>
          <w:lang w:val="uk-UA" w:eastAsia="ru-RU"/>
        </w:rPr>
        <w:t>УДК 349.2:316.647.82-053</w:t>
      </w:r>
      <w:r w:rsidRPr="0004509A">
        <w:rPr>
          <w:rFonts w:ascii="Times New Roman" w:eastAsia="Helvetica" w:hAnsi="Times New Roman" w:cs="Times New Roman"/>
          <w:color w:val="000000"/>
          <w:sz w:val="30"/>
          <w:szCs w:val="20"/>
          <w:lang w:eastAsia="ru-RU" w:bidi="en-GB"/>
        </w:rPr>
        <w:t xml:space="preserve"> (043.2)</w:t>
      </w:r>
    </w:p>
    <w:p w:rsidR="0004509A" w:rsidRPr="0004509A" w:rsidRDefault="0004509A" w:rsidP="0004509A">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0" w:name="_Toc1152320"/>
      <w:bookmarkStart w:id="1" w:name="_Toc1404547"/>
      <w:proofErr w:type="spellStart"/>
      <w:r w:rsidRPr="0004509A">
        <w:rPr>
          <w:rFonts w:ascii="Times New Roman" w:eastAsia="Helvetica" w:hAnsi="Times New Roman" w:cs="Arial"/>
          <w:b/>
          <w:bCs/>
          <w:iCs/>
          <w:color w:val="000000"/>
          <w:sz w:val="30"/>
          <w:szCs w:val="28"/>
          <w:lang w:val="uk-UA" w:eastAsia="zh-CN"/>
        </w:rPr>
        <w:t>Хоцяновська</w:t>
      </w:r>
      <w:proofErr w:type="spellEnd"/>
      <w:r w:rsidRPr="0004509A">
        <w:rPr>
          <w:rFonts w:ascii="Times New Roman" w:eastAsia="Helvetica" w:hAnsi="Times New Roman" w:cs="Arial"/>
          <w:b/>
          <w:bCs/>
          <w:iCs/>
          <w:color w:val="000000"/>
          <w:sz w:val="30"/>
          <w:szCs w:val="28"/>
          <w:lang w:val="uk-UA" w:eastAsia="zh-CN"/>
        </w:rPr>
        <w:t> Н. Ф.,</w:t>
      </w:r>
      <w:bookmarkEnd w:id="0"/>
      <w:bookmarkEnd w:id="1"/>
      <w:r w:rsidRPr="0004509A">
        <w:rPr>
          <w:rFonts w:ascii="Times New Roman" w:eastAsia="Helvetica" w:hAnsi="Times New Roman" w:cs="Times New Roman"/>
          <w:color w:val="000000"/>
          <w:sz w:val="30"/>
          <w:szCs w:val="20"/>
          <w:lang w:eastAsia="ru-RU"/>
        </w:rPr>
        <w:t xml:space="preserve"> старший </w:t>
      </w:r>
      <w:proofErr w:type="spellStart"/>
      <w:r w:rsidRPr="0004509A">
        <w:rPr>
          <w:rFonts w:ascii="Times New Roman" w:eastAsia="Helvetica" w:hAnsi="Times New Roman" w:cs="Times New Roman"/>
          <w:color w:val="000000"/>
          <w:sz w:val="30"/>
          <w:szCs w:val="20"/>
          <w:lang w:eastAsia="ru-RU"/>
        </w:rPr>
        <w:t>викладач</w:t>
      </w:r>
      <w:proofErr w:type="spellEnd"/>
      <w:r w:rsidRPr="0004509A">
        <w:rPr>
          <w:rFonts w:ascii="Times New Roman" w:eastAsia="Helvetica" w:hAnsi="Times New Roman" w:cs="Times New Roman"/>
          <w:color w:val="000000"/>
          <w:sz w:val="30"/>
          <w:szCs w:val="20"/>
          <w:lang w:eastAsia="ru-RU"/>
        </w:rPr>
        <w:t>,</w:t>
      </w:r>
    </w:p>
    <w:p w:rsidR="0004509A" w:rsidRPr="0004509A" w:rsidRDefault="0004509A" w:rsidP="0004509A">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proofErr w:type="spellStart"/>
      <w:r w:rsidRPr="0004509A">
        <w:rPr>
          <w:rFonts w:ascii="Times New Roman" w:eastAsia="Helvetica" w:hAnsi="Times New Roman" w:cs="Times New Roman"/>
          <w:color w:val="000000"/>
          <w:sz w:val="30"/>
          <w:szCs w:val="20"/>
          <w:lang w:eastAsia="ru-RU"/>
        </w:rPr>
        <w:t>Національний</w:t>
      </w:r>
      <w:proofErr w:type="spellEnd"/>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авіаційний</w:t>
      </w:r>
      <w:proofErr w:type="spellEnd"/>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університет</w:t>
      </w:r>
      <w:proofErr w:type="spellEnd"/>
      <w:r w:rsidRPr="0004509A">
        <w:rPr>
          <w:rFonts w:ascii="Times New Roman" w:eastAsia="Helvetica" w:hAnsi="Times New Roman" w:cs="Times New Roman"/>
          <w:color w:val="000000"/>
          <w:sz w:val="30"/>
          <w:szCs w:val="20"/>
          <w:lang w:eastAsia="ru-RU"/>
        </w:rPr>
        <w:t>, м.</w:t>
      </w:r>
      <w:r w:rsidRPr="0004509A">
        <w:rPr>
          <w:rFonts w:ascii="Times New Roman" w:eastAsia="Helvetica" w:hAnsi="Times New Roman" w:cs="Times New Roman"/>
          <w:color w:val="000000"/>
          <w:sz w:val="30"/>
          <w:szCs w:val="20"/>
          <w:lang w:val="en-US" w:eastAsia="ru-RU"/>
        </w:rPr>
        <w:t> </w:t>
      </w:r>
      <w:proofErr w:type="spellStart"/>
      <w:r w:rsidRPr="0004509A">
        <w:rPr>
          <w:rFonts w:ascii="Times New Roman" w:eastAsia="Helvetica" w:hAnsi="Times New Roman" w:cs="Times New Roman"/>
          <w:color w:val="000000"/>
          <w:sz w:val="30"/>
          <w:szCs w:val="20"/>
          <w:lang w:eastAsia="ru-RU"/>
        </w:rPr>
        <w:t>Київ</w:t>
      </w:r>
      <w:proofErr w:type="spellEnd"/>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Україна</w:t>
      </w:r>
      <w:proofErr w:type="spellEnd"/>
      <w:r w:rsidRPr="0004509A">
        <w:rPr>
          <w:rFonts w:ascii="Times New Roman" w:eastAsia="Helvetica" w:hAnsi="Times New Roman" w:cs="Times New Roman"/>
          <w:color w:val="000000"/>
          <w:sz w:val="30"/>
          <w:szCs w:val="20"/>
          <w:lang w:eastAsia="ru-RU"/>
        </w:rPr>
        <w:t>,</w:t>
      </w:r>
    </w:p>
    <w:p w:rsidR="0004509A" w:rsidRPr="0004509A" w:rsidRDefault="0004509A" w:rsidP="0004509A">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bookmarkStart w:id="2" w:name="_Toc1152321"/>
      <w:bookmarkStart w:id="3" w:name="_Toc1404548"/>
      <w:proofErr w:type="spellStart"/>
      <w:r w:rsidRPr="0004509A">
        <w:rPr>
          <w:rFonts w:ascii="Times New Roman" w:eastAsia="Helvetica" w:hAnsi="Times New Roman" w:cs="Arial"/>
          <w:b/>
          <w:bCs/>
          <w:iCs/>
          <w:color w:val="000000"/>
          <w:sz w:val="30"/>
          <w:szCs w:val="28"/>
          <w:lang w:val="uk-UA" w:eastAsia="zh-CN"/>
        </w:rPr>
        <w:t>Хом′яченко</w:t>
      </w:r>
      <w:proofErr w:type="spellEnd"/>
      <w:r w:rsidRPr="0004509A">
        <w:rPr>
          <w:rFonts w:ascii="Times New Roman" w:eastAsia="Helvetica" w:hAnsi="Times New Roman" w:cs="Arial"/>
          <w:b/>
          <w:bCs/>
          <w:iCs/>
          <w:color w:val="000000"/>
          <w:sz w:val="30"/>
          <w:szCs w:val="28"/>
          <w:lang w:val="uk-UA" w:eastAsia="zh-CN"/>
        </w:rPr>
        <w:t> C. І.</w:t>
      </w:r>
      <w:bookmarkEnd w:id="2"/>
      <w:bookmarkEnd w:id="3"/>
      <w:r w:rsidRPr="0004509A">
        <w:rPr>
          <w:rFonts w:ascii="Times New Roman" w:eastAsia="Helvetica" w:hAnsi="Times New Roman" w:cs="Times New Roman"/>
          <w:b/>
          <w:color w:val="000000"/>
          <w:sz w:val="30"/>
          <w:szCs w:val="20"/>
          <w:lang w:eastAsia="ru-RU"/>
        </w:rPr>
        <w:t>,</w:t>
      </w:r>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к.ю.н</w:t>
      </w:r>
      <w:proofErr w:type="spellEnd"/>
      <w:r w:rsidRPr="0004509A">
        <w:rPr>
          <w:rFonts w:ascii="Times New Roman" w:eastAsia="Helvetica" w:hAnsi="Times New Roman" w:cs="Times New Roman"/>
          <w:color w:val="000000"/>
          <w:sz w:val="30"/>
          <w:szCs w:val="20"/>
          <w:lang w:eastAsia="ru-RU"/>
        </w:rPr>
        <w:t>., доцент,</w:t>
      </w:r>
    </w:p>
    <w:p w:rsidR="0004509A" w:rsidRPr="0004509A" w:rsidRDefault="0004509A" w:rsidP="0004509A">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proofErr w:type="spellStart"/>
      <w:r w:rsidRPr="0004509A">
        <w:rPr>
          <w:rFonts w:ascii="Times New Roman" w:eastAsia="Helvetica" w:hAnsi="Times New Roman" w:cs="Times New Roman"/>
          <w:color w:val="000000"/>
          <w:sz w:val="30"/>
          <w:szCs w:val="20"/>
          <w:lang w:eastAsia="ru-RU"/>
        </w:rPr>
        <w:t>Національний</w:t>
      </w:r>
      <w:proofErr w:type="spellEnd"/>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університет</w:t>
      </w:r>
      <w:proofErr w:type="spellEnd"/>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біоресурсів</w:t>
      </w:r>
      <w:proofErr w:type="spellEnd"/>
    </w:p>
    <w:p w:rsidR="0004509A" w:rsidRPr="0004509A" w:rsidRDefault="0004509A" w:rsidP="0004509A">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r w:rsidRPr="0004509A">
        <w:rPr>
          <w:rFonts w:ascii="Times New Roman" w:eastAsia="Helvetica" w:hAnsi="Times New Roman" w:cs="Times New Roman"/>
          <w:color w:val="000000"/>
          <w:sz w:val="30"/>
          <w:szCs w:val="20"/>
          <w:lang w:val="uk-UA" w:eastAsia="ru-RU"/>
        </w:rPr>
        <w:t>і природокористування</w:t>
      </w:r>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України</w:t>
      </w:r>
      <w:proofErr w:type="spellEnd"/>
      <w:r w:rsidRPr="0004509A">
        <w:rPr>
          <w:rFonts w:ascii="Times New Roman" w:eastAsia="Helvetica" w:hAnsi="Times New Roman" w:cs="Times New Roman"/>
          <w:color w:val="000000"/>
          <w:sz w:val="30"/>
          <w:szCs w:val="20"/>
          <w:lang w:eastAsia="ru-RU"/>
        </w:rPr>
        <w:t>, м.</w:t>
      </w:r>
      <w:r w:rsidRPr="0004509A">
        <w:rPr>
          <w:rFonts w:ascii="Times New Roman" w:eastAsia="Helvetica" w:hAnsi="Times New Roman" w:cs="Times New Roman"/>
          <w:color w:val="000000"/>
          <w:sz w:val="30"/>
          <w:szCs w:val="20"/>
          <w:lang w:val="en-US" w:eastAsia="ru-RU"/>
        </w:rPr>
        <w:t> </w:t>
      </w:r>
      <w:proofErr w:type="spellStart"/>
      <w:r w:rsidRPr="0004509A">
        <w:rPr>
          <w:rFonts w:ascii="Times New Roman" w:eastAsia="Helvetica" w:hAnsi="Times New Roman" w:cs="Times New Roman"/>
          <w:color w:val="000000"/>
          <w:sz w:val="30"/>
          <w:szCs w:val="20"/>
          <w:lang w:eastAsia="ru-RU"/>
        </w:rPr>
        <w:t>Київ</w:t>
      </w:r>
      <w:proofErr w:type="spellEnd"/>
      <w:r w:rsidRPr="0004509A">
        <w:rPr>
          <w:rFonts w:ascii="Times New Roman" w:eastAsia="Helvetica" w:hAnsi="Times New Roman" w:cs="Times New Roman"/>
          <w:color w:val="000000"/>
          <w:sz w:val="30"/>
          <w:szCs w:val="20"/>
          <w:lang w:eastAsia="ru-RU"/>
        </w:rPr>
        <w:t xml:space="preserve">, </w:t>
      </w:r>
      <w:proofErr w:type="spellStart"/>
      <w:r w:rsidRPr="0004509A">
        <w:rPr>
          <w:rFonts w:ascii="Times New Roman" w:eastAsia="Helvetica" w:hAnsi="Times New Roman" w:cs="Times New Roman"/>
          <w:color w:val="000000"/>
          <w:sz w:val="30"/>
          <w:szCs w:val="20"/>
          <w:lang w:eastAsia="ru-RU"/>
        </w:rPr>
        <w:t>Україна</w:t>
      </w:r>
      <w:proofErr w:type="spellEnd"/>
    </w:p>
    <w:p w:rsidR="0004509A" w:rsidRPr="0004509A" w:rsidRDefault="0004509A" w:rsidP="0004509A">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4" w:name="_Toc1152322"/>
      <w:bookmarkStart w:id="5" w:name="_Toc1404549"/>
      <w:r w:rsidRPr="0004509A">
        <w:rPr>
          <w:rFonts w:ascii="Times New Roman" w:eastAsia="Helvetica" w:hAnsi="Times New Roman" w:cs="Times New Roman"/>
          <w:b/>
          <w:bCs/>
          <w:sz w:val="30"/>
          <w:szCs w:val="30"/>
          <w:lang w:val="uk-UA" w:eastAsia="uk-UA"/>
        </w:rPr>
        <w:t>ПРОБЛЕМИ УДОСКОНАЛЕННЯ ЗАКОНОДАВСТВА ІЗ ЗАХИСТУ ВІД ДИСКРИМІНАЦІЇ ЗА ВІКОМ У СФЕРІ ПРАЦІ</w:t>
      </w:r>
      <w:bookmarkEnd w:id="4"/>
      <w:bookmarkEnd w:id="5"/>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04509A">
        <w:rPr>
          <w:rFonts w:ascii="Times New Roman" w:eastAsia="Helvetica" w:hAnsi="Times New Roman" w:cs="Times New Roman"/>
          <w:sz w:val="30"/>
          <w:szCs w:val="20"/>
          <w:lang w:val="uk-UA" w:eastAsia="ru-RU"/>
        </w:rPr>
        <w:t>Україна перебуває у стані демографічної кризи: населення України старішає. Причинами цього явища є недостатній рівень народжуваності, трудова міграція працездатної молоді, участь молоді у захисті України під час АТО, тощо.</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04509A">
        <w:rPr>
          <w:rFonts w:ascii="Times New Roman" w:eastAsia="Helvetica" w:hAnsi="Times New Roman" w:cs="Times New Roman"/>
          <w:sz w:val="30"/>
          <w:szCs w:val="20"/>
          <w:lang w:val="uk-UA" w:eastAsia="ru-RU"/>
        </w:rPr>
        <w:t xml:space="preserve">Законодавство України декларує захист від будь-якої дискримінації в сфері праці та зайнятості населення. В тому числі стосовно: статі, раси, національності, політичних поглядів, соціального стану і віку особи. В той же час практика свідчить про недостатній захист від дискримінації. Певні положення, які містять дискримінаційні ознаки можна знайти у більшості оголошень про вакансії. Серед найбільш розповсюджених є обмеження за віком при висуненні вимог до кандидатів на посаду. Така дискримінація не обмежується необґрунтованою відмовою у прийнятті на роботу, а включає в себе такі випадки, як: відмова у підвищенні по службі, необґрунтовано низький рівень заробітної плати, вищий порівняно з іншими працівниками рівень навантаження, незаконне звільнення та ін. Отже, видається необхідним </w:t>
      </w:r>
      <w:bookmarkStart w:id="6" w:name="_Hlk536370928"/>
      <w:r w:rsidRPr="0004509A">
        <w:rPr>
          <w:rFonts w:ascii="Times New Roman" w:eastAsia="Helvetica" w:hAnsi="Times New Roman" w:cs="Times New Roman"/>
          <w:sz w:val="30"/>
          <w:szCs w:val="20"/>
          <w:lang w:val="uk-UA" w:eastAsia="ru-RU"/>
        </w:rPr>
        <w:t>удосконалення законодавства в сфері захисту від дискримінації за віком та механізму його реалізації.</w:t>
      </w:r>
    </w:p>
    <w:bookmarkEnd w:id="6"/>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04509A">
        <w:rPr>
          <w:rFonts w:ascii="Times New Roman" w:eastAsia="Helvetica" w:hAnsi="Times New Roman" w:cs="Times New Roman"/>
          <w:sz w:val="30"/>
          <w:szCs w:val="20"/>
          <w:lang w:val="uk-UA" w:eastAsia="ru-RU"/>
        </w:rPr>
        <w:t xml:space="preserve">У 2005 році було зроблено спробу прийняти спеціальній закон </w:t>
      </w:r>
      <w:bookmarkStart w:id="7" w:name="_Hlk536373793"/>
      <w:r w:rsidRPr="0004509A">
        <w:rPr>
          <w:rFonts w:ascii="Times New Roman" w:eastAsia="Helvetica" w:hAnsi="Times New Roman" w:cs="Times New Roman"/>
          <w:sz w:val="30"/>
          <w:szCs w:val="20"/>
          <w:lang w:val="uk-UA" w:eastAsia="ru-RU"/>
        </w:rPr>
        <w:t>«Про запобігання дискримінації щодо осіб літнього та похилого віку в Україні»</w:t>
      </w:r>
      <w:bookmarkEnd w:id="7"/>
      <w:r w:rsidRPr="0004509A">
        <w:rPr>
          <w:rFonts w:ascii="Times New Roman" w:eastAsia="Helvetica" w:hAnsi="Times New Roman" w:cs="Times New Roman"/>
          <w:sz w:val="30"/>
          <w:szCs w:val="20"/>
          <w:lang w:val="uk-UA" w:eastAsia="ru-RU"/>
        </w:rPr>
        <w:t>, який так і залишився законопроектом [1]. Дія закону мала поширюватись на всі відносини за участі літніх людей та людей похилого віку, в тому числі на трудові відносини та відносини зайнятості населення. Згідно законопроекту не вважалось дискримінацією таке обмеження прав відповідно віку особи, що було пов’язане із небезпекою для здоров’я. Такий підхід видається виваженим і обґрунтованим. Ідентичні положення пропонувались і у проектах 2010 </w:t>
      </w:r>
      <w:proofErr w:type="spellStart"/>
      <w:r w:rsidRPr="0004509A">
        <w:rPr>
          <w:rFonts w:ascii="Times New Roman" w:eastAsia="Helvetica" w:hAnsi="Times New Roman" w:cs="Times New Roman"/>
          <w:sz w:val="30"/>
          <w:szCs w:val="20"/>
          <w:lang w:val="uk-UA" w:eastAsia="ru-RU"/>
        </w:rPr>
        <w:t>р.та</w:t>
      </w:r>
      <w:proofErr w:type="spellEnd"/>
      <w:r w:rsidRPr="0004509A">
        <w:rPr>
          <w:rFonts w:ascii="Times New Roman" w:eastAsia="Helvetica" w:hAnsi="Times New Roman" w:cs="Times New Roman"/>
          <w:sz w:val="30"/>
          <w:szCs w:val="20"/>
          <w:lang w:val="uk-UA" w:eastAsia="ru-RU"/>
        </w:rPr>
        <w:t xml:space="preserve"> 2012 р., що також були відхилені [2]. Згідно з законопроектами, літньою особою пропонувалось вважати особу старше 50 років. Очевидно, що даний закон не вирішив би питання дискримінації за віком в цілому, так як не охоплював категорію осіб 35-50 років, які часто піддаються віковій </w:t>
      </w:r>
      <w:r w:rsidRPr="0004509A">
        <w:rPr>
          <w:rFonts w:ascii="Times New Roman" w:eastAsia="Helvetica" w:hAnsi="Times New Roman" w:cs="Times New Roman"/>
          <w:sz w:val="30"/>
          <w:szCs w:val="20"/>
          <w:lang w:val="uk-UA" w:eastAsia="ru-RU"/>
        </w:rPr>
        <w:lastRenderedPageBreak/>
        <w:t>дискримінації в сфері праці, а особливо в сфері зайнятості.</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04509A">
        <w:rPr>
          <w:rFonts w:ascii="Times New Roman" w:eastAsia="Helvetica" w:hAnsi="Times New Roman" w:cs="Times New Roman"/>
          <w:sz w:val="30"/>
          <w:szCs w:val="20"/>
          <w:lang w:val="uk-UA" w:eastAsia="ru-RU"/>
        </w:rPr>
        <w:t>З цієї позиції цікавим є досвід боротьби з віковою дискримінацією у США. Так, у 1967 році було прийнято Закон про дискримінацію за віком в сфері зайнятості</w:t>
      </w:r>
      <w:bookmarkStart w:id="8" w:name="_Hlk536358319"/>
      <w:r w:rsidRPr="0004509A">
        <w:rPr>
          <w:rFonts w:ascii="Times New Roman" w:eastAsia="Helvetica" w:hAnsi="Times New Roman" w:cs="Times New Roman"/>
          <w:sz w:val="30"/>
          <w:szCs w:val="20"/>
          <w:lang w:val="uk-UA" w:eastAsia="ru-RU"/>
        </w:rPr>
        <w:t xml:space="preserve"> (ADEA</w:t>
      </w:r>
      <w:bookmarkEnd w:id="8"/>
      <w:r w:rsidRPr="0004509A">
        <w:rPr>
          <w:rFonts w:ascii="Times New Roman" w:eastAsia="Helvetica" w:hAnsi="Times New Roman" w:cs="Times New Roman"/>
          <w:sz w:val="30"/>
          <w:szCs w:val="20"/>
          <w:lang w:val="uk-UA" w:eastAsia="ru-RU"/>
        </w:rPr>
        <w:t>). Відповідно зазначеного закону було заборонено вікову дискримінацію у сфері праці та зайнятості. Важливим є факт, що за віковий ценз було визначено 40 років. При досягненні цього віку забороняється дискримінація у прийнятті на роботу, підвищенні на посаді, звільненні, переведенні, надання субсидій, компенсацій, завдань по роботі, тренінгів, тощо. Такий підхід вважається більш виправданим і для України, адже багато роботодавців у вакансіях за обмеження висувають 40 і навіть 35 років [3].</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04509A">
        <w:rPr>
          <w:rFonts w:ascii="Times New Roman" w:eastAsia="Helvetica" w:hAnsi="Times New Roman" w:cs="Times New Roman"/>
          <w:sz w:val="30"/>
          <w:szCs w:val="20"/>
          <w:lang w:val="uk-UA" w:eastAsia="ru-RU"/>
        </w:rPr>
        <w:t xml:space="preserve">Необхідно зауважити, що у реалізації положень даного закону є деякі особливості, притаманні саме праву США. Так, ADEA визначаючи заборону роботодавцеві дискримінувати працівників через їх вік, досить </w:t>
      </w:r>
      <w:proofErr w:type="spellStart"/>
      <w:r w:rsidRPr="0004509A">
        <w:rPr>
          <w:rFonts w:ascii="Times New Roman" w:eastAsia="Helvetica" w:hAnsi="Times New Roman" w:cs="Times New Roman"/>
          <w:sz w:val="30"/>
          <w:szCs w:val="20"/>
          <w:lang w:val="uk-UA" w:eastAsia="ru-RU"/>
        </w:rPr>
        <w:t>специфічно</w:t>
      </w:r>
      <w:proofErr w:type="spellEnd"/>
      <w:r w:rsidRPr="0004509A">
        <w:rPr>
          <w:rFonts w:ascii="Times New Roman" w:eastAsia="Helvetica" w:hAnsi="Times New Roman" w:cs="Times New Roman"/>
          <w:sz w:val="30"/>
          <w:szCs w:val="20"/>
          <w:lang w:val="uk-UA" w:eastAsia="ru-RU"/>
        </w:rPr>
        <w:t xml:space="preserve"> визначає у §630(b) поняття «роботодавця» в таких відносинах. До 1974 року положення даного закону стосувались тільки приватних роботодавців, якими визнаються особи, що займаються індустрією, що стосується торгівлі та які мають у штаті 20 і більше працівників кожного робочого дня у кожному з двадцяти чи більше календарних тижнів у поточному чи попередньому календарному році. З 1974 року це положення було доповнене і термін «роботодавець» тепер також означає будь-якого </w:t>
      </w:r>
      <w:proofErr w:type="spellStart"/>
      <w:r w:rsidRPr="0004509A">
        <w:rPr>
          <w:rFonts w:ascii="Times New Roman" w:eastAsia="Helvetica" w:hAnsi="Times New Roman" w:cs="Times New Roman"/>
          <w:sz w:val="30"/>
          <w:szCs w:val="20"/>
          <w:lang w:val="uk-UA" w:eastAsia="ru-RU"/>
        </w:rPr>
        <w:t>агента</w:t>
      </w:r>
      <w:proofErr w:type="spellEnd"/>
      <w:r w:rsidRPr="0004509A">
        <w:rPr>
          <w:rFonts w:ascii="Times New Roman" w:eastAsia="Helvetica" w:hAnsi="Times New Roman" w:cs="Times New Roman"/>
          <w:sz w:val="30"/>
          <w:szCs w:val="20"/>
          <w:lang w:val="uk-UA" w:eastAsia="ru-RU"/>
        </w:rPr>
        <w:t xml:space="preserve"> державного чи політичного підрозділу. Дане положення не притаманне українському законодавству, де всі форми власності вважаються рівними і трудове законодавство є чинним як для приватних, так і для державних підприємств, установ та організацій, з урахуванням положень законодавства про державну службу, якщо мова йде про державний орган як роботодавця. Також слід зауважити, на недосконале формулювання даного положення, що викликало колізію у його застосуванні пов’язану із неоднозначним тлумаченням, яку було усунуто тільки у 2018 році висловленням Верховним Судом США своєї правової позиції стосовно розуміння «роботодавця» у справі </w:t>
      </w:r>
      <w:proofErr w:type="spellStart"/>
      <w:r w:rsidRPr="0004509A">
        <w:rPr>
          <w:rFonts w:ascii="Times New Roman" w:eastAsia="Helvetica" w:hAnsi="Times New Roman" w:cs="Times New Roman"/>
          <w:sz w:val="30"/>
          <w:szCs w:val="20"/>
          <w:lang w:val="uk-UA" w:eastAsia="ru-RU"/>
        </w:rPr>
        <w:t>Д.Гвідо</w:t>
      </w:r>
      <w:proofErr w:type="spellEnd"/>
      <w:r w:rsidRPr="0004509A">
        <w:rPr>
          <w:rFonts w:ascii="Times New Roman" w:eastAsia="Helvetica" w:hAnsi="Times New Roman" w:cs="Times New Roman"/>
          <w:sz w:val="30"/>
          <w:szCs w:val="20"/>
          <w:lang w:val="uk-UA" w:eastAsia="ru-RU"/>
        </w:rPr>
        <w:t xml:space="preserve"> та </w:t>
      </w:r>
      <w:proofErr w:type="spellStart"/>
      <w:r w:rsidRPr="0004509A">
        <w:rPr>
          <w:rFonts w:ascii="Times New Roman" w:eastAsia="Helvetica" w:hAnsi="Times New Roman" w:cs="Times New Roman"/>
          <w:sz w:val="30"/>
          <w:szCs w:val="20"/>
          <w:lang w:val="uk-UA" w:eastAsia="ru-RU"/>
        </w:rPr>
        <w:t>Д.Ранкін</w:t>
      </w:r>
      <w:proofErr w:type="spellEnd"/>
      <w:r w:rsidRPr="0004509A">
        <w:rPr>
          <w:rFonts w:ascii="Times New Roman" w:eastAsia="Helvetica" w:hAnsi="Times New Roman" w:cs="Times New Roman"/>
          <w:sz w:val="30"/>
          <w:szCs w:val="20"/>
          <w:lang w:val="uk-UA" w:eastAsia="ru-RU"/>
        </w:rPr>
        <w:t xml:space="preserve"> проти пожежного округу </w:t>
      </w:r>
      <w:proofErr w:type="spellStart"/>
      <w:r w:rsidRPr="0004509A">
        <w:rPr>
          <w:rFonts w:ascii="Times New Roman" w:eastAsia="Helvetica" w:hAnsi="Times New Roman" w:cs="Times New Roman"/>
          <w:sz w:val="30"/>
          <w:szCs w:val="20"/>
          <w:lang w:val="uk-UA" w:eastAsia="ru-RU"/>
        </w:rPr>
        <w:t>Маунт-Леммон</w:t>
      </w:r>
      <w:proofErr w:type="spellEnd"/>
      <w:r w:rsidRPr="0004509A">
        <w:rPr>
          <w:rFonts w:ascii="Times New Roman" w:eastAsia="Helvetica" w:hAnsi="Times New Roman" w:cs="Times New Roman"/>
          <w:sz w:val="30"/>
          <w:szCs w:val="20"/>
          <w:lang w:val="uk-UA" w:eastAsia="ru-RU"/>
        </w:rPr>
        <w:t>. Пожежники скаржились на незаконне звільнення у зв’язку із дискримінацією за віком, але пожежний округ стверджував про неможливість застосування даного положення у зв’язку із тим, що він не є роботодавцем у розумінні ADEA, так як має у своєму складі менше 20 працівників. Верховний Суд роз’яснив, що державні та політичні підрозділи є окремих категорією осіб до яких не застосовується обмеження за кількістю працівників [4].</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04509A">
        <w:rPr>
          <w:rFonts w:ascii="Times New Roman" w:eastAsia="Helvetica" w:hAnsi="Times New Roman" w:cs="Times New Roman"/>
          <w:sz w:val="30"/>
          <w:szCs w:val="20"/>
          <w:lang w:val="uk-UA" w:eastAsia="ru-RU"/>
        </w:rPr>
        <w:t xml:space="preserve">Зазначене вище дозволяє зробити висновок про необхідність подальшого дослідження питання дискримінації за віком в сфері праці та зайнятості населення та формування відповідного законодавства України з одночасним створенням ефективного механізму його реалізації. </w:t>
      </w:r>
      <w:r w:rsidRPr="0004509A">
        <w:rPr>
          <w:rFonts w:ascii="Times New Roman" w:eastAsia="Helvetica" w:hAnsi="Times New Roman" w:cs="Times New Roman"/>
          <w:sz w:val="30"/>
          <w:szCs w:val="20"/>
          <w:lang w:val="uk-UA" w:eastAsia="ru-RU"/>
        </w:rPr>
        <w:lastRenderedPageBreak/>
        <w:t>Успішний досвід інших держав, зокрема США, може слугувати орієнтиром та основою для формування такого законодавства за умови врахування особливостей національного права.</w:t>
      </w:r>
    </w:p>
    <w:p w:rsidR="0004509A" w:rsidRPr="0004509A" w:rsidRDefault="0004509A" w:rsidP="0004509A">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04509A">
        <w:rPr>
          <w:rFonts w:ascii="Times New Roman" w:eastAsia="Helvetica" w:hAnsi="Times New Roman" w:cs="Times New Roman"/>
          <w:i/>
          <w:sz w:val="28"/>
          <w:szCs w:val="20"/>
          <w:lang w:val="uk-UA" w:eastAsia="ru-RU"/>
        </w:rPr>
        <w:t>Література</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04509A">
        <w:rPr>
          <w:rFonts w:ascii="Times New Roman" w:eastAsia="Helvetica" w:hAnsi="Times New Roman" w:cs="Times New Roman"/>
          <w:sz w:val="28"/>
          <w:szCs w:val="20"/>
          <w:lang w:val="uk-UA" w:eastAsia="ru-RU"/>
        </w:rPr>
        <w:t xml:space="preserve">1. Проект Закону «Про запобігання дискримінації щодо осіб літнього та похилого віку в Україні» </w:t>
      </w:r>
      <w:bookmarkStart w:id="9" w:name="_Hlk536374239"/>
      <w:r w:rsidRPr="0004509A">
        <w:rPr>
          <w:rFonts w:ascii="Times New Roman" w:eastAsia="Helvetica" w:hAnsi="Times New Roman" w:cs="Times New Roman"/>
          <w:sz w:val="28"/>
          <w:szCs w:val="20"/>
          <w:lang w:val="uk-UA" w:eastAsia="ru-RU"/>
        </w:rPr>
        <w:t>№8367 від</w:t>
      </w:r>
      <w:bookmarkEnd w:id="9"/>
      <w:r w:rsidRPr="0004509A">
        <w:rPr>
          <w:rFonts w:ascii="Times New Roman" w:eastAsia="Helvetica" w:hAnsi="Times New Roman" w:cs="Times New Roman"/>
          <w:sz w:val="28"/>
          <w:szCs w:val="20"/>
          <w:lang w:val="uk-UA" w:eastAsia="ru-RU"/>
        </w:rPr>
        <w:t xml:space="preserve"> 01.11.2005 р. URL: http://w1.c1.rada.gov.ua/ </w:t>
      </w:r>
      <w:proofErr w:type="spellStart"/>
      <w:r w:rsidRPr="0004509A">
        <w:rPr>
          <w:rFonts w:ascii="Times New Roman" w:eastAsia="Helvetica" w:hAnsi="Times New Roman" w:cs="Times New Roman"/>
          <w:sz w:val="28"/>
          <w:szCs w:val="20"/>
          <w:lang w:val="uk-UA" w:eastAsia="ru-RU"/>
        </w:rPr>
        <w:t>pls</w:t>
      </w:r>
      <w:proofErr w:type="spellEnd"/>
      <w:r w:rsidRPr="0004509A">
        <w:rPr>
          <w:rFonts w:ascii="Times New Roman" w:eastAsia="Helvetica" w:hAnsi="Times New Roman" w:cs="Times New Roman"/>
          <w:sz w:val="28"/>
          <w:szCs w:val="20"/>
          <w:lang w:val="uk-UA" w:eastAsia="ru-RU"/>
        </w:rPr>
        <w:t>/zweb2/webproc4_2?id=&amp;pf3516=8367&amp;skl=5</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04509A">
        <w:rPr>
          <w:rFonts w:ascii="Times New Roman" w:eastAsia="Helvetica" w:hAnsi="Times New Roman" w:cs="Times New Roman"/>
          <w:sz w:val="28"/>
          <w:szCs w:val="20"/>
          <w:lang w:val="uk-UA" w:eastAsia="ru-RU"/>
        </w:rPr>
        <w:t xml:space="preserve">2. Проект Закону «Про запобігання дискримінації щодо осіб літнього та похилого віку в Україні» №7224 від 07.10.2010 р. URL: http://w1.c1.rada. gov.ua/ </w:t>
      </w:r>
      <w:proofErr w:type="spellStart"/>
      <w:r w:rsidRPr="0004509A">
        <w:rPr>
          <w:rFonts w:ascii="Times New Roman" w:eastAsia="Helvetica" w:hAnsi="Times New Roman" w:cs="Times New Roman"/>
          <w:sz w:val="28"/>
          <w:szCs w:val="20"/>
          <w:lang w:val="uk-UA" w:eastAsia="ru-RU"/>
        </w:rPr>
        <w:t>pls</w:t>
      </w:r>
      <w:proofErr w:type="spellEnd"/>
      <w:r w:rsidRPr="0004509A">
        <w:rPr>
          <w:rFonts w:ascii="Times New Roman" w:eastAsia="Helvetica" w:hAnsi="Times New Roman" w:cs="Times New Roman"/>
          <w:sz w:val="28"/>
          <w:szCs w:val="20"/>
          <w:lang w:val="uk-UA" w:eastAsia="ru-RU"/>
        </w:rPr>
        <w:t>/zweb2/webproc4_1?pf3511=38709; Проект Закону «Про запобігання дискримінації щодо осіб літнього та похилого віку в Україні» №10486 від 18.05.2012 р.</w:t>
      </w:r>
      <w:bookmarkStart w:id="10" w:name="_Hlk536375108"/>
      <w:r w:rsidRPr="0004509A">
        <w:rPr>
          <w:rFonts w:ascii="Times New Roman" w:eastAsia="Helvetica" w:hAnsi="Times New Roman" w:cs="Times New Roman"/>
          <w:sz w:val="28"/>
          <w:szCs w:val="20"/>
          <w:lang w:val="uk-UA" w:eastAsia="ru-RU"/>
        </w:rPr>
        <w:t xml:space="preserve"> URL: </w:t>
      </w:r>
      <w:bookmarkEnd w:id="10"/>
      <w:r w:rsidRPr="0004509A">
        <w:rPr>
          <w:rFonts w:ascii="Times New Roman" w:eastAsia="Helvetica" w:hAnsi="Times New Roman" w:cs="Times New Roman"/>
          <w:sz w:val="28"/>
          <w:szCs w:val="20"/>
          <w:lang w:val="uk-UA" w:eastAsia="ru-RU"/>
        </w:rPr>
        <w:t xml:space="preserve">http://w1.c1.rada.gov.ua/pls/ zweb2/webproc4_2? </w:t>
      </w:r>
      <w:proofErr w:type="spellStart"/>
      <w:r w:rsidRPr="0004509A">
        <w:rPr>
          <w:rFonts w:ascii="Times New Roman" w:eastAsia="Helvetica" w:hAnsi="Times New Roman" w:cs="Times New Roman"/>
          <w:sz w:val="28"/>
          <w:szCs w:val="20"/>
          <w:lang w:val="uk-UA" w:eastAsia="ru-RU"/>
        </w:rPr>
        <w:t>id</w:t>
      </w:r>
      <w:proofErr w:type="spellEnd"/>
      <w:r w:rsidRPr="0004509A">
        <w:rPr>
          <w:rFonts w:ascii="Times New Roman" w:eastAsia="Helvetica" w:hAnsi="Times New Roman" w:cs="Times New Roman"/>
          <w:sz w:val="28"/>
          <w:szCs w:val="20"/>
          <w:lang w:val="uk-UA" w:eastAsia="ru-RU"/>
        </w:rPr>
        <w:t>=&amp; pf3516= 10486&amp;skl=7</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i/>
          <w:iCs/>
          <w:sz w:val="28"/>
          <w:szCs w:val="20"/>
          <w:lang w:val="uk-UA" w:eastAsia="ru-RU"/>
        </w:rPr>
      </w:pPr>
      <w:r w:rsidRPr="0004509A">
        <w:rPr>
          <w:rFonts w:ascii="Times New Roman" w:eastAsia="Helvetica" w:hAnsi="Times New Roman" w:cs="Times New Roman"/>
          <w:sz w:val="28"/>
          <w:szCs w:val="20"/>
          <w:lang w:val="uk-UA" w:eastAsia="ru-RU"/>
        </w:rPr>
        <w:t>3. </w:t>
      </w:r>
      <w:proofErr w:type="spellStart"/>
      <w:r w:rsidRPr="0004509A">
        <w:rPr>
          <w:rFonts w:ascii="Times New Roman" w:eastAsia="Helvetica" w:hAnsi="Times New Roman" w:cs="Times New Roman"/>
          <w:sz w:val="28"/>
          <w:szCs w:val="20"/>
          <w:lang w:val="uk-UA" w:eastAsia="ru-RU"/>
        </w:rPr>
        <w:t>The</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Age</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Discrimination</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in</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Employment</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Act</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of</w:t>
      </w:r>
      <w:proofErr w:type="spellEnd"/>
      <w:r w:rsidRPr="0004509A">
        <w:rPr>
          <w:rFonts w:ascii="Times New Roman" w:eastAsia="Helvetica" w:hAnsi="Times New Roman" w:cs="Times New Roman"/>
          <w:sz w:val="28"/>
          <w:szCs w:val="20"/>
          <w:lang w:val="uk-UA" w:eastAsia="ru-RU"/>
        </w:rPr>
        <w:t xml:space="preserve"> 1967 </w:t>
      </w:r>
      <w:r w:rsidRPr="0004509A">
        <w:rPr>
          <w:rFonts w:ascii="Times New Roman" w:eastAsia="Helvetica" w:hAnsi="Times New Roman" w:cs="Times New Roman"/>
          <w:i/>
          <w:iCs/>
          <w:sz w:val="28"/>
          <w:szCs w:val="20"/>
          <w:lang w:val="uk-UA" w:eastAsia="ru-RU"/>
        </w:rPr>
        <w:t xml:space="preserve">(ADEA). </w:t>
      </w:r>
      <w:proofErr w:type="spellStart"/>
      <w:r w:rsidRPr="0004509A">
        <w:rPr>
          <w:rFonts w:ascii="Times New Roman" w:eastAsia="Helvetica" w:hAnsi="Times New Roman" w:cs="Times New Roman"/>
          <w:i/>
          <w:iCs/>
          <w:sz w:val="28"/>
          <w:szCs w:val="20"/>
          <w:lang w:val="uk-UA" w:eastAsia="ru-RU"/>
        </w:rPr>
        <w:t>Pub</w:t>
      </w:r>
      <w:proofErr w:type="spellEnd"/>
      <w:r w:rsidRPr="0004509A">
        <w:rPr>
          <w:rFonts w:ascii="Times New Roman" w:eastAsia="Helvetica" w:hAnsi="Times New Roman" w:cs="Times New Roman"/>
          <w:i/>
          <w:iCs/>
          <w:sz w:val="28"/>
          <w:szCs w:val="20"/>
          <w:lang w:val="uk-UA" w:eastAsia="ru-RU"/>
        </w:rPr>
        <w:t>. L. 90-202.</w:t>
      </w:r>
    </w:p>
    <w:p w:rsidR="0004509A" w:rsidRPr="0004509A" w:rsidRDefault="0004509A" w:rsidP="0004509A">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04509A">
        <w:rPr>
          <w:rFonts w:ascii="Times New Roman" w:eastAsia="Helvetica" w:hAnsi="Times New Roman" w:cs="Times New Roman"/>
          <w:sz w:val="28"/>
          <w:szCs w:val="20"/>
          <w:lang w:val="uk-UA" w:eastAsia="ru-RU"/>
        </w:rPr>
        <w:t>4. </w:t>
      </w:r>
      <w:proofErr w:type="spellStart"/>
      <w:r w:rsidRPr="0004509A">
        <w:rPr>
          <w:rFonts w:ascii="Times New Roman" w:eastAsia="Helvetica" w:hAnsi="Times New Roman" w:cs="Times New Roman"/>
          <w:sz w:val="28"/>
          <w:szCs w:val="20"/>
          <w:lang w:val="uk-UA" w:eastAsia="ru-RU"/>
        </w:rPr>
        <w:t>The</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Supreme</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Court</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of</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the</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United</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States</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Mount</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Lemmon</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Fire</w:t>
      </w:r>
      <w:proofErr w:type="spellEnd"/>
      <w:r w:rsidRPr="0004509A">
        <w:rPr>
          <w:rFonts w:ascii="Times New Roman" w:eastAsia="Helvetica" w:hAnsi="Times New Roman" w:cs="Times New Roman"/>
          <w:sz w:val="28"/>
          <w:szCs w:val="20"/>
          <w:lang w:val="uk-UA" w:eastAsia="ru-RU"/>
        </w:rPr>
        <w:t xml:space="preserve"> </w:t>
      </w:r>
      <w:proofErr w:type="spellStart"/>
      <w:r w:rsidRPr="0004509A">
        <w:rPr>
          <w:rFonts w:ascii="Times New Roman" w:eastAsia="Helvetica" w:hAnsi="Times New Roman" w:cs="Times New Roman"/>
          <w:sz w:val="28"/>
          <w:szCs w:val="20"/>
          <w:lang w:val="uk-UA" w:eastAsia="ru-RU"/>
        </w:rPr>
        <w:t>Dist</w:t>
      </w:r>
      <w:proofErr w:type="spellEnd"/>
      <w:r w:rsidRPr="0004509A">
        <w:rPr>
          <w:rFonts w:ascii="Times New Roman" w:eastAsia="Helvetica" w:hAnsi="Times New Roman" w:cs="Times New Roman"/>
          <w:sz w:val="28"/>
          <w:szCs w:val="20"/>
          <w:lang w:val="uk-UA" w:eastAsia="ru-RU"/>
        </w:rPr>
        <w:t xml:space="preserve">. v. </w:t>
      </w:r>
      <w:proofErr w:type="spellStart"/>
      <w:r w:rsidRPr="0004509A">
        <w:rPr>
          <w:rFonts w:ascii="Times New Roman" w:eastAsia="Helvetica" w:hAnsi="Times New Roman" w:cs="Times New Roman"/>
          <w:sz w:val="28"/>
          <w:szCs w:val="20"/>
          <w:lang w:val="uk-UA" w:eastAsia="ru-RU"/>
        </w:rPr>
        <w:t>Guido</w:t>
      </w:r>
      <w:proofErr w:type="spellEnd"/>
      <w:r w:rsidRPr="0004509A">
        <w:rPr>
          <w:rFonts w:ascii="Times New Roman" w:eastAsia="Helvetica" w:hAnsi="Times New Roman" w:cs="Times New Roman"/>
          <w:sz w:val="28"/>
          <w:szCs w:val="20"/>
          <w:lang w:val="uk-UA" w:eastAsia="ru-RU"/>
        </w:rPr>
        <w:t>, 17-587, 11/06/18. URL: https://www.supremecourt.gov/opinions/18pdf/17-587_n7 ip.pdf</w:t>
      </w:r>
    </w:p>
    <w:p w:rsidR="00EF7C5F" w:rsidRDefault="00EF7C5F">
      <w:bookmarkStart w:id="11" w:name="_GoBack"/>
      <w:bookmarkEnd w:id="11"/>
    </w:p>
    <w:sectPr w:rsidR="00EF7C5F"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9A"/>
    <w:rsid w:val="0004509A"/>
    <w:rsid w:val="0058620B"/>
    <w:rsid w:val="00CC69F8"/>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E591C-BD25-4275-A7EC-646E616A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2019-03-14T20:13:00Z</dcterms:created>
  <dcterms:modified xsi:type="dcterms:W3CDTF">2019-03-14T20:13:00Z</dcterms:modified>
</cp:coreProperties>
</file>