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32" w:rsidRPr="00236932" w:rsidRDefault="00236932" w:rsidP="00236932">
      <w:pPr>
        <w:keepNext/>
        <w:widowControl w:val="0"/>
        <w:autoSpaceDE w:val="0"/>
        <w:autoSpaceDN w:val="0"/>
        <w:adjustRightInd w:val="0"/>
        <w:spacing w:before="720" w:after="0" w:line="233" w:lineRule="auto"/>
        <w:jc w:val="both"/>
        <w:rPr>
          <w:rFonts w:ascii="Times New Roman" w:eastAsia="Helvetica" w:hAnsi="Times New Roman" w:cs="Times New Roman"/>
          <w:color w:val="000000"/>
          <w:sz w:val="30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val="uk-UA" w:eastAsia="ru-RU"/>
        </w:rPr>
        <w:t>УДК 347.77</w:t>
      </w:r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 w:bidi="en-GB"/>
        </w:rPr>
        <w:t xml:space="preserve"> (043.2)</w:t>
      </w:r>
    </w:p>
    <w:p w:rsidR="00236932" w:rsidRPr="00236932" w:rsidRDefault="00236932" w:rsidP="00236932">
      <w:pPr>
        <w:keepNext/>
        <w:widowControl w:val="0"/>
        <w:autoSpaceDE w:val="0"/>
        <w:autoSpaceDN w:val="0"/>
        <w:adjustRightInd w:val="0"/>
        <w:spacing w:after="0" w:line="233" w:lineRule="auto"/>
        <w:ind w:firstLine="510"/>
        <w:jc w:val="right"/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</w:pPr>
      <w:bookmarkStart w:id="0" w:name="_Toc1152325"/>
      <w:bookmarkStart w:id="1" w:name="_Toc1404552"/>
      <w:r w:rsidRPr="00236932">
        <w:rPr>
          <w:rFonts w:ascii="Times New Roman" w:eastAsia="Helvetica" w:hAnsi="Times New Roman" w:cs="Arial"/>
          <w:b/>
          <w:bCs/>
          <w:iCs/>
          <w:color w:val="000000"/>
          <w:sz w:val="30"/>
          <w:szCs w:val="28"/>
          <w:lang w:val="uk-UA" w:eastAsia="zh-CN"/>
        </w:rPr>
        <w:t>Шуст Н. Б.</w:t>
      </w:r>
      <w:bookmarkEnd w:id="0"/>
      <w:bookmarkEnd w:id="1"/>
      <w:r w:rsidRPr="00236932">
        <w:rPr>
          <w:rFonts w:ascii="Times New Roman" w:eastAsia="Helvetica" w:hAnsi="Times New Roman" w:cs="Times New Roman"/>
          <w:b/>
          <w:color w:val="000000"/>
          <w:sz w:val="30"/>
          <w:szCs w:val="20"/>
          <w:lang w:eastAsia="ru-RU"/>
        </w:rPr>
        <w:t>,</w:t>
      </w:r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 xml:space="preserve"> д. соц. н., </w:t>
      </w:r>
      <w:proofErr w:type="spellStart"/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професор</w:t>
      </w:r>
      <w:proofErr w:type="spellEnd"/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,</w:t>
      </w:r>
    </w:p>
    <w:p w:rsidR="00236932" w:rsidRPr="00236932" w:rsidRDefault="00236932" w:rsidP="00236932">
      <w:pPr>
        <w:keepNext/>
        <w:widowControl w:val="0"/>
        <w:autoSpaceDE w:val="0"/>
        <w:autoSpaceDN w:val="0"/>
        <w:adjustRightInd w:val="0"/>
        <w:spacing w:after="0" w:line="233" w:lineRule="auto"/>
        <w:ind w:firstLine="510"/>
        <w:jc w:val="right"/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</w:pPr>
      <w:proofErr w:type="spellStart"/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Національний</w:t>
      </w:r>
      <w:proofErr w:type="spellEnd"/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авіаційний</w:t>
      </w:r>
      <w:proofErr w:type="spellEnd"/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університет</w:t>
      </w:r>
      <w:proofErr w:type="spellEnd"/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, м.</w:t>
      </w:r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val="en-US" w:eastAsia="ru-RU"/>
        </w:rPr>
        <w:t> </w:t>
      </w:r>
      <w:proofErr w:type="spellStart"/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Київ</w:t>
      </w:r>
      <w:proofErr w:type="spellEnd"/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 xml:space="preserve">, </w:t>
      </w:r>
      <w:proofErr w:type="spellStart"/>
      <w:r w:rsidRPr="00236932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Україна</w:t>
      </w:r>
      <w:proofErr w:type="spellEnd"/>
    </w:p>
    <w:p w:rsidR="00236932" w:rsidRPr="00236932" w:rsidRDefault="00236932" w:rsidP="00236932">
      <w:pPr>
        <w:keepNext/>
        <w:keepLines/>
        <w:spacing w:before="480" w:after="120" w:line="240" w:lineRule="auto"/>
        <w:jc w:val="center"/>
        <w:outlineLvl w:val="2"/>
        <w:rPr>
          <w:rFonts w:ascii="Times New Roman" w:eastAsia="Helvetica" w:hAnsi="Times New Roman" w:cs="Times New Roman"/>
          <w:b/>
          <w:bCs/>
          <w:sz w:val="30"/>
          <w:szCs w:val="30"/>
          <w:lang w:val="uk-UA" w:eastAsia="uk-UA"/>
        </w:rPr>
      </w:pPr>
      <w:bookmarkStart w:id="2" w:name="_Toc1152326"/>
      <w:bookmarkStart w:id="3" w:name="_Toc1404553"/>
      <w:r w:rsidRPr="00236932">
        <w:rPr>
          <w:rFonts w:ascii="Times New Roman" w:eastAsia="Helvetica" w:hAnsi="Times New Roman" w:cs="Times New Roman"/>
          <w:b/>
          <w:bCs/>
          <w:sz w:val="30"/>
          <w:szCs w:val="30"/>
          <w:lang w:val="uk-UA" w:eastAsia="uk-UA"/>
        </w:rPr>
        <w:t>ПРАВОВЕ РЕГУЛЮВАННЯ ВІДКРИТИХ ОСВІТНІХ РЕСУРСІВ ЯК ОБ’ЄКТА ЦИВІЛЬНИХ ПРАВОВІДНОСИН</w:t>
      </w:r>
      <w:bookmarkEnd w:id="2"/>
      <w:bookmarkEnd w:id="3"/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Освітяни творять світ…, в якому кожна людина планети не лише має доступ до знання всього людства, а й може зробити власний внесок у нього. Так стверджувалось у «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Кейптаунській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Декларації відкритої освіти», узагальнюючи у найближчому майбутньому можливості інформаційних технологій та розкриваючи можливості здобуття нових знань та освіти. Людство стоїть на порозі глобальної революції, далі продовжується у Декларації, у викладанні та навчанні. Освітяни всього світу створюють багаті колекції навчальних матеріалів в Інтернеті, відкриті та безплатні для кожного користувача.</w:t>
      </w:r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Відповідно до визначення ЮНЕСКО, відкриті освітні ресурси це освітні, навчальні чи наукові ресурси, розміщені у вільному доступі або розповсюджені під ліцензією, що дозволяє їх вільне використання або переробку. Відкриті освітні ресурси включають в себе повні курси, навчальні матеріали, модулі, підручники, відео, тексти, програмне забезпечення, а також будь-які інші засоби, матеріали або технології, що використовуються для надання доступу до знань [1].</w:t>
      </w:r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Започаткував та відкрив вільний доступ до матеріалів своїх навчальних курсів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Масачусетський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технологічний інститут (MIT) у 2002 році, коли розпочав проект «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Open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Course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Ware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», зробивши вагомий внесок у розвиток концепції відкритих освітніх ресурсів [2].</w:t>
      </w:r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В свою чергу, світова педагогічна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громадскість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розробила багато практичних рекомендацій щодо загальних засад створення та використання відкритих освітніх ресурсів, що в свою чергу потребує правового захисту та регулювання. Цілком природньо, що будь-який навчальний заклад або науковець, створюючи відкритий навчальний ресурс, прагне до того, щоб були дотримані його авторські права. Міжнародне співтовариство розробило для цього певний механізм, який підтримує організація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Creative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Commons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.</w:t>
      </w:r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28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Creative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Commons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– це неприбуткова корпорація, яка прагне полегшити використання та створення похідних творів, дотримуючись авторських прав.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Creative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Commons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запропонували золоту середину між принципами «усі права застережені» та «жодні права не застережені» – «деякі права застережені». Організація розробила та оприлюднила декілька ліцензійних угод стосовно авторських прав, відомих як Ліцензії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lastRenderedPageBreak/>
        <w:t>Creative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Commons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. Ці ліцензії (в залежності від обраної), обмежують лише певні права (або жодні) на авторську роботу. Мета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Creative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Commons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– дозволити власникам авторських прав передати деякі з прав на власні твори громадськості, і в той же час зберегти за собою інші права. Справа в тому, що відповідно до законодавства більшості країн світу законами про авторські права всі права, як майнові, так і немайнові, належать авторам автоматично.</w:t>
      </w:r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28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В правовій науковій літературі об’єкт цивільних правовідносин визначається як те, на що спрямовано суб’єктивне право і суб’єктивний обов’язок з метою задоволення інтересів громадян та організацій. Тобто об’єктами цивільних правових відносин є: а) речі; б) дії, в тому числі послуги; в) результати духовної та інтелектуальної творчості; г) особисті немайнові блага” [3, с.73].</w:t>
      </w:r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28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Так, Хартія університетів України, що була підписана у 2009 році включає до академічної свободи відкритий доступ до інформації, за виключеннями, передбаченими законодавством, у тому числі до наукової інформації через розвиток відкритих електронних архівів (університетських інституційних </w:t>
      </w:r>
      <w:proofErr w:type="spellStart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репозитаріїв</w:t>
      </w:r>
      <w:proofErr w:type="spellEnd"/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), відкритих електронних журналів українських університетів та можливість вільно підтримувати стосунки зі своїми колегами в будь-якій частині світу [4].</w:t>
      </w:r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28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Як об’єкт авторського права відкриті освітні ресурси визначаються у двох значеннях: у вузькому значенні, як твору, в якому втілена призначена для розповсюдження наукова та педагогічна інформація; в широкому значенні, як об’єктивно вираженого, нового результату інтелектуальної творчої діяльності автора, в якому наукова та педагогічна інформація виражається у формі творів, які охороняються законодавством про авторське право. Основними ознаками відкритих освітніх ресурсів як об’єкта авторського права є: творчий характер, новизна, об’єктивна форма вираження. Обов’язковою умовою використання об’єктів авторського права, які не перейшли у суспільне надбання, при виготовленні та розповсюдженні творів є укладання відповідних договорів щодо розпорядження майновими правами інтелектуальної власності на об’єкт авторського права або визначення умов про авторські права в договорах на створення та розповсюдження.</w:t>
      </w:r>
    </w:p>
    <w:p w:rsidR="00236932" w:rsidRPr="00236932" w:rsidRDefault="00236932" w:rsidP="00236932">
      <w:pPr>
        <w:keepNext/>
        <w:widowControl w:val="0"/>
        <w:autoSpaceDE w:val="0"/>
        <w:autoSpaceDN w:val="0"/>
        <w:adjustRightInd w:val="0"/>
        <w:spacing w:before="240" w:after="0" w:line="233" w:lineRule="auto"/>
        <w:jc w:val="center"/>
        <w:rPr>
          <w:rFonts w:ascii="Times New Roman" w:eastAsia="Helvetica" w:hAnsi="Times New Roman" w:cs="Times New Roman"/>
          <w:i/>
          <w:sz w:val="28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i/>
          <w:sz w:val="28"/>
          <w:szCs w:val="20"/>
          <w:lang w:val="uk-UA" w:eastAsia="ru-RU"/>
        </w:rPr>
        <w:t>Література</w:t>
      </w:r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28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1. 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Guidelines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for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Open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Educational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Resources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(OER)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in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Higher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Education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[Електронний ресурс]. – Режим доступу: http://www.col.org/resources/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publications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/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Pages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/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detail.aspx?PID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=364.</w:t>
      </w:r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28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2. 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Forum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on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the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Impact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of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Open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Courseware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for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Higher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Education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in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Developing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Countries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[Електронний ресурс]. – Режим доступу: http://unesdoc. unesco.org/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images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/0012/001285/ 128515e.pdf.</w:t>
      </w:r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28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3. Цивільне право України: Академічний курс: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підруч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.: у 2</w:t>
      </w:r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 w:bidi="en-GB"/>
        </w:rPr>
        <w:t> </w:t>
      </w:r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т. / За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заг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. ред. Я.М.</w:t>
      </w:r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 w:bidi="en-GB"/>
        </w:rPr>
        <w:t> </w:t>
      </w:r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Шевченко. – Вид. 2-ге,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доп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. і перероб. – К.: Видавничий Дім «Ін Юре», 2006. – Т.</w:t>
      </w:r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 w:bidi="en-GB"/>
        </w:rPr>
        <w:t> </w:t>
      </w:r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1. Загальна частина. – 520 с.</w:t>
      </w:r>
    </w:p>
    <w:p w:rsidR="00236932" w:rsidRPr="00236932" w:rsidRDefault="00236932" w:rsidP="00236932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28"/>
          <w:szCs w:val="20"/>
          <w:lang w:val="uk-UA" w:eastAsia="ru-RU"/>
        </w:rPr>
      </w:pPr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lastRenderedPageBreak/>
        <w:t xml:space="preserve">4. Хартія університетів України [Електронний ресурс]. – Режим доступу: http://moodle.kma.mk.ua/ 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mod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/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resource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/</w:t>
      </w:r>
      <w:proofErr w:type="spellStart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view.php?id</w:t>
      </w:r>
      <w:proofErr w:type="spellEnd"/>
      <w:r w:rsidRPr="00236932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=18005.</w:t>
      </w:r>
    </w:p>
    <w:p w:rsidR="00EF7C5F" w:rsidRPr="00236932" w:rsidRDefault="00EF7C5F">
      <w:pPr>
        <w:rPr>
          <w:lang w:val="uk-UA"/>
        </w:rPr>
      </w:pPr>
      <w:bookmarkStart w:id="4" w:name="_GoBack"/>
      <w:bookmarkEnd w:id="4"/>
    </w:p>
    <w:sectPr w:rsidR="00EF7C5F" w:rsidRPr="00236932" w:rsidSect="005862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32"/>
    <w:rsid w:val="00236932"/>
    <w:rsid w:val="0058620B"/>
    <w:rsid w:val="00CC69F8"/>
    <w:rsid w:val="00E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20701-E306-48D2-9FC5-7ED8156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2019-03-14T20:41:00Z</dcterms:created>
  <dcterms:modified xsi:type="dcterms:W3CDTF">2019-03-14T20:41:00Z</dcterms:modified>
</cp:coreProperties>
</file>