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8D" w:rsidRPr="00CE3EFB" w:rsidRDefault="007E028D" w:rsidP="007E028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35A79">
        <w:rPr>
          <w:rFonts w:ascii="Times New Roman" w:hAnsi="Times New Roman" w:cs="Times New Roman"/>
          <w:b/>
          <w:sz w:val="18"/>
          <w:szCs w:val="18"/>
        </w:rPr>
        <w:t>УДК</w:t>
      </w:r>
      <w:r w:rsidR="00CE3EFB">
        <w:rPr>
          <w:rFonts w:ascii="Times New Roman" w:hAnsi="Times New Roman" w:cs="Times New Roman"/>
          <w:b/>
          <w:sz w:val="18"/>
          <w:szCs w:val="18"/>
          <w:lang w:val="en-US"/>
        </w:rPr>
        <w:t xml:space="preserve"> 725</w:t>
      </w:r>
      <w:r w:rsidR="00CE3EFB">
        <w:rPr>
          <w:rFonts w:ascii="Times New Roman" w:hAnsi="Times New Roman" w:cs="Times New Roman"/>
          <w:b/>
          <w:sz w:val="18"/>
          <w:szCs w:val="18"/>
        </w:rPr>
        <w:t>.948</w:t>
      </w:r>
      <w:bookmarkStart w:id="0" w:name="_GoBack"/>
      <w:bookmarkEnd w:id="0"/>
    </w:p>
    <w:p w:rsidR="007E028D" w:rsidRPr="007E028D" w:rsidRDefault="007E028D" w:rsidP="007E028D">
      <w:pPr>
        <w:spacing w:after="0" w:line="264" w:lineRule="auto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7E028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О.Г. Церковна.  </w:t>
      </w:r>
      <w:r w:rsidRPr="007E028D">
        <w:rPr>
          <w:rFonts w:ascii="Times New Roman" w:hAnsi="Times New Roman" w:cs="Times New Roman"/>
          <w:bCs/>
          <w:i/>
          <w:color w:val="000000"/>
          <w:sz w:val="18"/>
          <w:szCs w:val="18"/>
        </w:rPr>
        <w:t>Аспірант, Національний авіаційний університет м. Київ, Україна</w:t>
      </w:r>
    </w:p>
    <w:p w:rsidR="007E028D" w:rsidRPr="001C34F9" w:rsidRDefault="007E028D" w:rsidP="007E028D">
      <w:pPr>
        <w:spacing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7E028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А.О. Вороніна. </w:t>
      </w:r>
      <w:r w:rsidRPr="007E028D">
        <w:rPr>
          <w:rFonts w:ascii="Times New Roman" w:hAnsi="Times New Roman" w:cs="Times New Roman"/>
          <w:bCs/>
          <w:i/>
          <w:color w:val="000000"/>
          <w:sz w:val="18"/>
          <w:szCs w:val="18"/>
        </w:rPr>
        <w:t>Студент, Одеська державна академія будівництва та архітектури м. Одеса, Україна</w:t>
      </w:r>
    </w:p>
    <w:p w:rsidR="007A7990" w:rsidRDefault="0011416C" w:rsidP="00694F8F">
      <w:pPr>
        <w:ind w:firstLine="142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ВИЗНАЧЕННЯ </w:t>
      </w:r>
      <w:r w:rsidR="007A7990" w:rsidRPr="001C34F9">
        <w:rPr>
          <w:rFonts w:ascii="Times New Roman" w:hAnsi="Times New Roman" w:cs="Times New Roman"/>
          <w:b/>
          <w:sz w:val="18"/>
          <w:szCs w:val="18"/>
        </w:rPr>
        <w:t xml:space="preserve">ФОНТАНІВ </w:t>
      </w:r>
      <w:r w:rsidR="00A52754">
        <w:rPr>
          <w:rFonts w:ascii="Times New Roman" w:hAnsi="Times New Roman" w:cs="Times New Roman"/>
          <w:b/>
          <w:sz w:val="18"/>
          <w:szCs w:val="18"/>
        </w:rPr>
        <w:t xml:space="preserve">ЯК СПОРУД </w:t>
      </w:r>
      <w:r w:rsidR="007A7990" w:rsidRPr="001C34F9">
        <w:rPr>
          <w:rFonts w:ascii="Times New Roman" w:hAnsi="Times New Roman" w:cs="Times New Roman"/>
          <w:b/>
          <w:sz w:val="18"/>
          <w:szCs w:val="18"/>
        </w:rPr>
        <w:t>В МІСЬКОМУ СЕРЕДОВИЩІ</w:t>
      </w:r>
    </w:p>
    <w:p w:rsidR="00DD663A" w:rsidRDefault="00DD663A" w:rsidP="00D654C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D663A">
        <w:rPr>
          <w:rFonts w:ascii="Times New Roman" w:hAnsi="Times New Roman" w:cs="Times New Roman"/>
          <w:sz w:val="18"/>
          <w:szCs w:val="18"/>
        </w:rPr>
        <w:t>Актуальність теми дослідження викликана необхідністю вирішення проблемних питань пов'язаних з термінологічно-понятійним відмінностями у визначенні тако</w:t>
      </w:r>
      <w:r w:rsidR="00694F8F">
        <w:rPr>
          <w:rFonts w:ascii="Times New Roman" w:hAnsi="Times New Roman" w:cs="Times New Roman"/>
          <w:sz w:val="18"/>
          <w:szCs w:val="18"/>
        </w:rPr>
        <w:t xml:space="preserve">ї </w:t>
      </w:r>
      <w:r w:rsidRPr="00DD663A">
        <w:rPr>
          <w:rFonts w:ascii="Times New Roman" w:hAnsi="Times New Roman" w:cs="Times New Roman"/>
          <w:sz w:val="18"/>
          <w:szCs w:val="18"/>
        </w:rPr>
        <w:t>архітектурного споруди як фонтани в міському середовищі. Уточнення даного визначення потрібно для подальшого вдосконалення містобудівної документації.</w:t>
      </w:r>
    </w:p>
    <w:p w:rsidR="001E755B" w:rsidRDefault="00D654C0" w:rsidP="00D654C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654C0">
        <w:rPr>
          <w:rFonts w:ascii="Times New Roman" w:hAnsi="Times New Roman" w:cs="Times New Roman"/>
          <w:sz w:val="18"/>
          <w:szCs w:val="18"/>
        </w:rPr>
        <w:t xml:space="preserve">Фонтани як область дослідження обрано не випадково, адже саме поняття «фонтан» є багатоаспектним. </w:t>
      </w:r>
    </w:p>
    <w:p w:rsidR="00D654C0" w:rsidRPr="00D654C0" w:rsidRDefault="00D654C0" w:rsidP="00D654C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654C0">
        <w:rPr>
          <w:rFonts w:ascii="Times New Roman" w:hAnsi="Times New Roman" w:cs="Times New Roman"/>
          <w:sz w:val="18"/>
          <w:szCs w:val="18"/>
        </w:rPr>
        <w:t>Ці архітектурні</w:t>
      </w:r>
      <w:r w:rsidRPr="00D654C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54C0">
        <w:rPr>
          <w:rFonts w:ascii="Times New Roman" w:hAnsi="Times New Roman" w:cs="Times New Roman"/>
          <w:sz w:val="18"/>
          <w:szCs w:val="18"/>
        </w:rPr>
        <w:t>споруди можна розглядати як:</w:t>
      </w:r>
    </w:p>
    <w:p w:rsidR="00D654C0" w:rsidRPr="00D654C0" w:rsidRDefault="00D654C0" w:rsidP="00D654C0">
      <w:pPr>
        <w:pStyle w:val="a4"/>
        <w:numPr>
          <w:ilvl w:val="0"/>
          <w:numId w:val="1"/>
        </w:numPr>
        <w:suppressAutoHyphens/>
        <w:spacing w:line="240" w:lineRule="auto"/>
        <w:ind w:left="426" w:hanging="393"/>
        <w:jc w:val="both"/>
        <w:rPr>
          <w:rFonts w:ascii="Times New Roman" w:hAnsi="Times New Roman" w:cs="Times New Roman"/>
          <w:sz w:val="18"/>
          <w:szCs w:val="18"/>
        </w:rPr>
      </w:pPr>
      <w:r w:rsidRPr="00D654C0">
        <w:rPr>
          <w:rFonts w:ascii="Times New Roman" w:hAnsi="Times New Roman" w:cs="Times New Roman"/>
          <w:sz w:val="18"/>
          <w:szCs w:val="18"/>
        </w:rPr>
        <w:t xml:space="preserve">об’єкт монументального мистецтва, пам’ятник культурної та історичної спадщини, елемент (частину) системи благоустрою населених пунктів </w:t>
      </w:r>
      <w:r w:rsidRPr="00D654C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hyperlink r:id="rId6" w:tgtFrame="_blank" w:history="1">
        <w:r w:rsidRPr="00D654C0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Закон України "Про благоустрій населених пунктів"</w:t>
        </w:r>
      </w:hyperlink>
      <w:r w:rsidRPr="00D654C0">
        <w:rPr>
          <w:rFonts w:ascii="Times New Roman" w:hAnsi="Times New Roman" w:cs="Times New Roman"/>
          <w:sz w:val="18"/>
          <w:szCs w:val="18"/>
          <w:shd w:val="clear" w:color="auto" w:fill="FFFFFF"/>
        </w:rPr>
        <w:t> (Відомості Верховної Ради України, 2005 р., № 49, ст. 517; 2011 р., № 34, ст. 343; 2012 р., № 29, ст. 345; із змінами, внесеними Законом України від 17 травня 2012 року № 4710-VI)</w:t>
      </w:r>
      <w:r w:rsidRPr="00D654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D654C0" w:rsidRPr="00D654C0" w:rsidRDefault="00D654C0" w:rsidP="00D654C0">
      <w:pPr>
        <w:pStyle w:val="a4"/>
        <w:numPr>
          <w:ilvl w:val="0"/>
          <w:numId w:val="1"/>
        </w:numPr>
        <w:suppressAutoHyphens/>
        <w:spacing w:line="240" w:lineRule="auto"/>
        <w:ind w:left="426" w:hanging="393"/>
        <w:jc w:val="both"/>
        <w:rPr>
          <w:rFonts w:ascii="Times New Roman" w:hAnsi="Times New Roman" w:cs="Times New Roman"/>
          <w:sz w:val="18"/>
          <w:szCs w:val="18"/>
        </w:rPr>
      </w:pPr>
      <w:r w:rsidRPr="00D654C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об’єкт будівництва – специфічну </w:t>
      </w:r>
      <w:r w:rsidRPr="00D654C0">
        <w:rPr>
          <w:rFonts w:ascii="Times New Roman" w:hAnsi="Times New Roman" w:cs="Times New Roman"/>
          <w:sz w:val="18"/>
          <w:szCs w:val="18"/>
        </w:rPr>
        <w:t>споруду для покращення мікроклімату з усім улаштуванням, устаткуванням та допоміжними пристроями, що належать до неї (</w:t>
      </w:r>
      <w:hyperlink r:id="rId7" w:history="1">
        <w:r w:rsidRPr="00D654C0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ДСТУ Б</w:t>
        </w:r>
      </w:hyperlink>
      <w:r w:rsidRPr="00D654C0">
        <w:rPr>
          <w:rFonts w:ascii="Times New Roman" w:hAnsi="Times New Roman" w:cs="Times New Roman"/>
          <w:sz w:val="18"/>
          <w:szCs w:val="18"/>
          <w:shd w:val="clear" w:color="auto" w:fill="FFFFFF"/>
        </w:rPr>
        <w:t> Д.1.1-1:2013</w:t>
      </w:r>
      <w:r w:rsidRPr="00D654C0">
        <w:rPr>
          <w:rFonts w:ascii="Times New Roman" w:hAnsi="Times New Roman" w:cs="Times New Roman"/>
          <w:sz w:val="18"/>
          <w:szCs w:val="18"/>
        </w:rPr>
        <w:t xml:space="preserve"> </w:t>
      </w:r>
      <w:r w:rsidRPr="00D654C0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Правил</w:t>
      </w:r>
      <w:r w:rsidRPr="00D654C0">
        <w:rPr>
          <w:rFonts w:ascii="Times New Roman" w:hAnsi="Times New Roman" w:cs="Times New Roman"/>
          <w:sz w:val="18"/>
          <w:szCs w:val="18"/>
        </w:rPr>
        <w:t>а</w:t>
      </w:r>
      <w:r w:rsidRPr="00D654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визначення вартості будівництва</w:t>
      </w:r>
      <w:r w:rsidRPr="00D654C0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D654C0" w:rsidRPr="00D654C0" w:rsidRDefault="00D654C0" w:rsidP="00D654C0">
      <w:pPr>
        <w:pStyle w:val="a4"/>
        <w:numPr>
          <w:ilvl w:val="0"/>
          <w:numId w:val="1"/>
        </w:numPr>
        <w:suppressAutoHyphens/>
        <w:spacing w:after="0" w:line="240" w:lineRule="auto"/>
        <w:ind w:left="426" w:hanging="393"/>
        <w:jc w:val="both"/>
        <w:rPr>
          <w:rFonts w:ascii="Times New Roman" w:hAnsi="Times New Roman" w:cs="Times New Roman"/>
          <w:sz w:val="18"/>
          <w:szCs w:val="18"/>
        </w:rPr>
      </w:pPr>
      <w:r w:rsidRPr="00D654C0">
        <w:rPr>
          <w:rFonts w:ascii="Times New Roman" w:hAnsi="Times New Roman" w:cs="Times New Roman"/>
          <w:sz w:val="18"/>
          <w:szCs w:val="18"/>
        </w:rPr>
        <w:t>інженерну споруду - будівельну об’ємну систему, складену з лінійних наземних, надземних або підземних будівельних систем нижчого рівня, пов'язану з землею та водними ресурсами, створену з устаткування, обладнання та будівельних матеріалів в результаті виконання різних будівельно-монтажних робіт і призначену для виконання різного виду тимчасового перебування та пересування людей. Систему можна класифікувати за інженерним задумом що визначається цільовим призначенням об'єкта (ДК 018-2000 Державний класифікатор будівель та споруд).</w:t>
      </w:r>
    </w:p>
    <w:p w:rsidR="00D654C0" w:rsidRPr="00450391" w:rsidRDefault="00D654C0" w:rsidP="001A1A8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52754">
        <w:rPr>
          <w:rFonts w:ascii="Times New Roman" w:hAnsi="Times New Roman" w:cs="Times New Roman"/>
          <w:sz w:val="18"/>
          <w:szCs w:val="18"/>
        </w:rPr>
        <w:t xml:space="preserve">Враховуючи термінологічно-понятійні розбіжності щодо сутності даного об’єкту, запропоновано, визначити </w:t>
      </w:r>
      <w:r w:rsidR="00106A36" w:rsidRPr="00106A36">
        <w:rPr>
          <w:rFonts w:ascii="Times New Roman" w:hAnsi="Times New Roman" w:cs="Times New Roman"/>
          <w:sz w:val="18"/>
          <w:szCs w:val="18"/>
        </w:rPr>
        <w:t>поняття</w:t>
      </w:r>
      <w:r w:rsidRPr="00A52754">
        <w:rPr>
          <w:rFonts w:ascii="Times New Roman" w:hAnsi="Times New Roman" w:cs="Times New Roman"/>
          <w:sz w:val="18"/>
          <w:szCs w:val="18"/>
        </w:rPr>
        <w:t xml:space="preserve"> «фонтан» як</w:t>
      </w:r>
      <w:r w:rsidR="00A53D0E" w:rsidRPr="00A52754">
        <w:rPr>
          <w:rFonts w:ascii="Times New Roman" w:hAnsi="Times New Roman" w:cs="Times New Roman"/>
          <w:sz w:val="18"/>
          <w:szCs w:val="18"/>
        </w:rPr>
        <w:t xml:space="preserve"> специфічну</w:t>
      </w:r>
      <w:r w:rsidR="00450391" w:rsidRPr="00A52754">
        <w:rPr>
          <w:rFonts w:ascii="Times New Roman" w:hAnsi="Times New Roman" w:cs="Times New Roman"/>
          <w:sz w:val="18"/>
          <w:szCs w:val="18"/>
        </w:rPr>
        <w:t xml:space="preserve"> </w:t>
      </w:r>
      <w:r w:rsidR="006E6EA9" w:rsidRPr="00A52754">
        <w:rPr>
          <w:rFonts w:ascii="Times New Roman" w:hAnsi="Times New Roman" w:cs="Times New Roman"/>
          <w:sz w:val="18"/>
          <w:szCs w:val="18"/>
        </w:rPr>
        <w:t xml:space="preserve">споруду </w:t>
      </w:r>
      <w:r w:rsidR="00450391" w:rsidRPr="00A52754">
        <w:rPr>
          <w:rFonts w:ascii="Times New Roman" w:hAnsi="Times New Roman" w:cs="Times New Roman"/>
          <w:sz w:val="18"/>
          <w:szCs w:val="18"/>
        </w:rPr>
        <w:t>для покращення клімату оточуючого середовища</w:t>
      </w:r>
      <w:r w:rsidR="00A52754" w:rsidRPr="00A52754">
        <w:rPr>
          <w:rFonts w:ascii="Times New Roman" w:hAnsi="Times New Roman" w:cs="Times New Roman"/>
          <w:sz w:val="18"/>
          <w:szCs w:val="18"/>
        </w:rPr>
        <w:t xml:space="preserve"> </w:t>
      </w:r>
      <w:r w:rsidR="00106A36">
        <w:rPr>
          <w:rFonts w:ascii="Times New Roman" w:hAnsi="Times New Roman" w:cs="Times New Roman"/>
          <w:sz w:val="18"/>
          <w:szCs w:val="18"/>
        </w:rPr>
        <w:t>та</w:t>
      </w:r>
      <w:r w:rsidR="00A52754" w:rsidRPr="00A52754">
        <w:rPr>
          <w:rFonts w:ascii="Times New Roman" w:hAnsi="Times New Roman" w:cs="Times New Roman"/>
          <w:sz w:val="18"/>
          <w:szCs w:val="18"/>
        </w:rPr>
        <w:t xml:space="preserve"> викон</w:t>
      </w:r>
      <w:r w:rsidR="00106A36">
        <w:rPr>
          <w:rFonts w:ascii="Times New Roman" w:hAnsi="Times New Roman" w:cs="Times New Roman"/>
          <w:sz w:val="18"/>
          <w:szCs w:val="18"/>
        </w:rPr>
        <w:t>ання</w:t>
      </w:r>
      <w:r w:rsidR="00A52754" w:rsidRPr="00A52754">
        <w:rPr>
          <w:rFonts w:ascii="Times New Roman" w:hAnsi="Times New Roman" w:cs="Times New Roman"/>
          <w:sz w:val="18"/>
          <w:szCs w:val="18"/>
        </w:rPr>
        <w:t xml:space="preserve"> комплекс</w:t>
      </w:r>
      <w:r w:rsidR="002228BB">
        <w:rPr>
          <w:rFonts w:ascii="Times New Roman" w:hAnsi="Times New Roman" w:cs="Times New Roman"/>
          <w:sz w:val="18"/>
          <w:szCs w:val="18"/>
        </w:rPr>
        <w:t>у</w:t>
      </w:r>
      <w:r w:rsidR="00A52754" w:rsidRPr="00A52754">
        <w:rPr>
          <w:rFonts w:ascii="Times New Roman" w:hAnsi="Times New Roman" w:cs="Times New Roman"/>
          <w:sz w:val="18"/>
          <w:szCs w:val="18"/>
        </w:rPr>
        <w:t xml:space="preserve"> заходів спрямованих на підвищення комфортності міських територій.</w:t>
      </w:r>
      <w:r w:rsidR="00A52754">
        <w:rPr>
          <w:rFonts w:ascii="Times New Roman" w:hAnsi="Times New Roman" w:cs="Times New Roman"/>
          <w:sz w:val="18"/>
          <w:szCs w:val="18"/>
        </w:rPr>
        <w:t xml:space="preserve"> </w:t>
      </w:r>
      <w:r w:rsidR="00450391" w:rsidRPr="00450391">
        <w:rPr>
          <w:rFonts w:ascii="Times New Roman" w:hAnsi="Times New Roman" w:cs="Times New Roman"/>
          <w:sz w:val="18"/>
          <w:szCs w:val="18"/>
        </w:rPr>
        <w:t>С</w:t>
      </w:r>
      <w:r w:rsidR="00A53D0E" w:rsidRPr="00450391">
        <w:rPr>
          <w:rFonts w:ascii="Times New Roman" w:hAnsi="Times New Roman" w:cs="Times New Roman"/>
          <w:sz w:val="18"/>
          <w:szCs w:val="18"/>
        </w:rPr>
        <w:t>поруд</w:t>
      </w:r>
      <w:r w:rsidR="00450391" w:rsidRPr="00450391">
        <w:rPr>
          <w:rFonts w:ascii="Times New Roman" w:hAnsi="Times New Roman" w:cs="Times New Roman"/>
          <w:sz w:val="18"/>
          <w:szCs w:val="18"/>
        </w:rPr>
        <w:t>а</w:t>
      </w:r>
      <w:r w:rsidRPr="00450391">
        <w:rPr>
          <w:rFonts w:ascii="Times New Roman" w:hAnsi="Times New Roman" w:cs="Times New Roman"/>
          <w:sz w:val="18"/>
          <w:szCs w:val="18"/>
        </w:rPr>
        <w:t xml:space="preserve"> </w:t>
      </w:r>
      <w:r w:rsidR="006505FC" w:rsidRPr="00450391">
        <w:rPr>
          <w:rFonts w:ascii="Times New Roman" w:hAnsi="Times New Roman" w:cs="Times New Roman"/>
          <w:sz w:val="18"/>
          <w:szCs w:val="18"/>
        </w:rPr>
        <w:t xml:space="preserve">володіє певними художньо-естетичними якостями, являє собою складну технічну систему (сукупність конструкцій, технічних пристроїв, механізмів та будівельних матеріалів), </w:t>
      </w:r>
      <w:r w:rsidR="00450391" w:rsidRPr="00450391">
        <w:rPr>
          <w:rFonts w:ascii="Times New Roman" w:hAnsi="Times New Roman" w:cs="Times New Roman"/>
          <w:sz w:val="18"/>
          <w:szCs w:val="18"/>
        </w:rPr>
        <w:t xml:space="preserve">пов'язана з землею та водними ресурсами, </w:t>
      </w:r>
      <w:r w:rsidR="006505FC" w:rsidRPr="00450391">
        <w:rPr>
          <w:rFonts w:ascii="Times New Roman" w:hAnsi="Times New Roman" w:cs="Times New Roman"/>
          <w:sz w:val="18"/>
          <w:szCs w:val="18"/>
        </w:rPr>
        <w:t>має конкретне місце розташування (просторове розміщення)</w:t>
      </w:r>
      <w:r w:rsidR="00450391" w:rsidRPr="00450391">
        <w:rPr>
          <w:rFonts w:ascii="Times New Roman" w:hAnsi="Times New Roman" w:cs="Times New Roman"/>
          <w:sz w:val="18"/>
          <w:szCs w:val="18"/>
        </w:rPr>
        <w:t xml:space="preserve">, призначена для виконання різного виду тимчасового перебування та пересування людей. </w:t>
      </w:r>
      <w:r w:rsidR="006505FC" w:rsidRPr="00450391">
        <w:rPr>
          <w:rFonts w:ascii="Times New Roman" w:hAnsi="Times New Roman" w:cs="Times New Roman"/>
          <w:sz w:val="18"/>
          <w:szCs w:val="18"/>
        </w:rPr>
        <w:t>Природні та матеріально-технічні елементи споруди мають внутрішні взаємозв'язки, завдяки чому представляють єдиний функціональний об'єкт.</w:t>
      </w:r>
    </w:p>
    <w:p w:rsidR="00D654C0" w:rsidRPr="006E6EA9" w:rsidRDefault="006E6EA9" w:rsidP="006E6EA9">
      <w:pPr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E6EA9">
        <w:rPr>
          <w:rFonts w:ascii="Times New Roman" w:hAnsi="Times New Roman" w:cs="Times New Roman"/>
          <w:b/>
          <w:sz w:val="18"/>
          <w:szCs w:val="18"/>
        </w:rPr>
        <w:t>Висновки.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E6EA9">
        <w:rPr>
          <w:rFonts w:ascii="Times New Roman" w:hAnsi="Times New Roman" w:cs="Times New Roman"/>
          <w:sz w:val="18"/>
          <w:szCs w:val="18"/>
        </w:rPr>
        <w:t>Уточнення визначення фонтанів в міському середовищі дозволяє в подальшому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D663A">
        <w:rPr>
          <w:rFonts w:ascii="Times New Roman" w:hAnsi="Times New Roman" w:cs="Times New Roman"/>
          <w:sz w:val="18"/>
          <w:szCs w:val="18"/>
        </w:rPr>
        <w:t>вдосконал</w:t>
      </w:r>
      <w:r>
        <w:rPr>
          <w:rFonts w:ascii="Times New Roman" w:hAnsi="Times New Roman" w:cs="Times New Roman"/>
          <w:sz w:val="18"/>
          <w:szCs w:val="18"/>
        </w:rPr>
        <w:t>ити</w:t>
      </w:r>
      <w:r w:rsidRPr="00DD663A">
        <w:rPr>
          <w:rFonts w:ascii="Times New Roman" w:hAnsi="Times New Roman" w:cs="Times New Roman"/>
          <w:sz w:val="18"/>
          <w:szCs w:val="18"/>
        </w:rPr>
        <w:t xml:space="preserve"> містобудівн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DD663A">
        <w:rPr>
          <w:rFonts w:ascii="Times New Roman" w:hAnsi="Times New Roman" w:cs="Times New Roman"/>
          <w:sz w:val="18"/>
          <w:szCs w:val="18"/>
        </w:rPr>
        <w:t xml:space="preserve"> документаці</w:t>
      </w:r>
      <w:r>
        <w:rPr>
          <w:rFonts w:ascii="Times New Roman" w:hAnsi="Times New Roman" w:cs="Times New Roman"/>
          <w:sz w:val="18"/>
          <w:szCs w:val="18"/>
        </w:rPr>
        <w:t xml:space="preserve">ю </w:t>
      </w:r>
      <w:r w:rsidR="00660756">
        <w:rPr>
          <w:rFonts w:ascii="Times New Roman" w:hAnsi="Times New Roman" w:cs="Times New Roman"/>
          <w:sz w:val="18"/>
          <w:szCs w:val="18"/>
        </w:rPr>
        <w:t>та</w:t>
      </w:r>
      <w:r>
        <w:rPr>
          <w:rFonts w:ascii="Times New Roman" w:hAnsi="Times New Roman" w:cs="Times New Roman"/>
          <w:sz w:val="18"/>
          <w:szCs w:val="18"/>
        </w:rPr>
        <w:t xml:space="preserve"> приймати обґрунтовані проектні рішення </w:t>
      </w:r>
      <w:r w:rsidR="00577869">
        <w:rPr>
          <w:rFonts w:ascii="Times New Roman" w:hAnsi="Times New Roman" w:cs="Times New Roman"/>
          <w:sz w:val="18"/>
          <w:szCs w:val="18"/>
        </w:rPr>
        <w:t>з</w:t>
      </w:r>
      <w:r>
        <w:rPr>
          <w:rFonts w:ascii="Times New Roman" w:hAnsi="Times New Roman" w:cs="Times New Roman"/>
          <w:sz w:val="18"/>
          <w:szCs w:val="18"/>
        </w:rPr>
        <w:t xml:space="preserve"> урахуванням містобудівної ситуації.</w:t>
      </w:r>
    </w:p>
    <w:sectPr w:rsidR="00D654C0" w:rsidRPr="006E6EA9" w:rsidSect="007E028D">
      <w:pgSz w:w="8391" w:h="11907" w:code="1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4D50"/>
    <w:multiLevelType w:val="hybridMultilevel"/>
    <w:tmpl w:val="28103846"/>
    <w:lvl w:ilvl="0" w:tplc="0422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54"/>
    <w:rsid w:val="00106A36"/>
    <w:rsid w:val="0011416C"/>
    <w:rsid w:val="00145439"/>
    <w:rsid w:val="00197F38"/>
    <w:rsid w:val="001A1A84"/>
    <w:rsid w:val="001C34F9"/>
    <w:rsid w:val="001E755B"/>
    <w:rsid w:val="002228BB"/>
    <w:rsid w:val="00354721"/>
    <w:rsid w:val="00450391"/>
    <w:rsid w:val="00494E4F"/>
    <w:rsid w:val="004D7254"/>
    <w:rsid w:val="00577869"/>
    <w:rsid w:val="006505FC"/>
    <w:rsid w:val="00660756"/>
    <w:rsid w:val="00694F8F"/>
    <w:rsid w:val="006E6EA9"/>
    <w:rsid w:val="00704498"/>
    <w:rsid w:val="007A7990"/>
    <w:rsid w:val="007E028D"/>
    <w:rsid w:val="00A52754"/>
    <w:rsid w:val="00A53D0E"/>
    <w:rsid w:val="00A64E81"/>
    <w:rsid w:val="00C35A79"/>
    <w:rsid w:val="00CE3EFB"/>
    <w:rsid w:val="00D654C0"/>
    <w:rsid w:val="00DD663A"/>
    <w:rsid w:val="00E023E4"/>
    <w:rsid w:val="00F43EF0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54C0"/>
    <w:pPr>
      <w:ind w:left="720"/>
      <w:contextualSpacing/>
    </w:pPr>
  </w:style>
  <w:style w:type="paragraph" w:customStyle="1" w:styleId="Default">
    <w:name w:val="Default"/>
    <w:rsid w:val="00D65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54C0"/>
    <w:pPr>
      <w:ind w:left="720"/>
      <w:contextualSpacing/>
    </w:pPr>
  </w:style>
  <w:style w:type="paragraph" w:customStyle="1" w:styleId="Default">
    <w:name w:val="Default"/>
    <w:rsid w:val="00D65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naop.com/html/43963/doc-%D0%94%D0%A1%D0%A2%D0%A3_%D0%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807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2018-10-12T11:40:00Z</dcterms:created>
  <dcterms:modified xsi:type="dcterms:W3CDTF">2018-10-17T13:23:00Z</dcterms:modified>
</cp:coreProperties>
</file>