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20" w:rsidRPr="006F63E9" w:rsidRDefault="00202120" w:rsidP="00202120">
      <w:pPr>
        <w:pStyle w:val="a7"/>
        <w:spacing w:line="360" w:lineRule="auto"/>
        <w:ind w:firstLine="709"/>
        <w:jc w:val="left"/>
        <w:rPr>
          <w:rStyle w:val="20"/>
          <w:color w:val="000000" w:themeColor="text1"/>
          <w:sz w:val="28"/>
          <w:szCs w:val="28"/>
          <w:lang w:val="ru-RU"/>
        </w:rPr>
      </w:pPr>
      <w:bookmarkStart w:id="0" w:name="_Toc512872738"/>
      <w:r w:rsidRPr="006F63E9">
        <w:rPr>
          <w:rStyle w:val="20"/>
          <w:color w:val="000000" w:themeColor="text1"/>
          <w:sz w:val="28"/>
          <w:szCs w:val="28"/>
          <w:lang w:val="ru-RU"/>
        </w:rPr>
        <w:t>УДК 336.774(477)</w:t>
      </w:r>
    </w:p>
    <w:p w:rsidR="00202120" w:rsidRPr="006F63E9" w:rsidRDefault="00202120" w:rsidP="00202120">
      <w:pPr>
        <w:pStyle w:val="a7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F63E9">
        <w:rPr>
          <w:rStyle w:val="20"/>
          <w:b/>
          <w:color w:val="000000" w:themeColor="text1"/>
          <w:sz w:val="28"/>
          <w:szCs w:val="28"/>
        </w:rPr>
        <w:t>Ткаченко А. О.</w:t>
      </w:r>
      <w:bookmarkEnd w:id="0"/>
      <w:r w:rsidRPr="006F63E9">
        <w:rPr>
          <w:b/>
          <w:color w:val="000000" w:themeColor="text1"/>
          <w:sz w:val="28"/>
          <w:szCs w:val="28"/>
          <w:lang w:val="ru-RU"/>
        </w:rPr>
        <w:t>,</w:t>
      </w:r>
      <w:r w:rsidRPr="006F63E9">
        <w:rPr>
          <w:color w:val="000000" w:themeColor="text1"/>
          <w:sz w:val="28"/>
          <w:szCs w:val="28"/>
          <w:lang w:val="ru-RU"/>
        </w:rPr>
        <w:t xml:space="preserve"> </w:t>
      </w:r>
      <w:r w:rsidRPr="006F63E9">
        <w:rPr>
          <w:color w:val="000000" w:themeColor="text1"/>
          <w:sz w:val="28"/>
          <w:szCs w:val="28"/>
        </w:rPr>
        <w:t>c</w:t>
      </w:r>
      <w:r w:rsidRPr="006F63E9">
        <w:rPr>
          <w:color w:val="000000" w:themeColor="text1"/>
          <w:sz w:val="28"/>
          <w:szCs w:val="28"/>
          <w:lang w:val="ru-RU"/>
        </w:rPr>
        <w:t>тудент,</w:t>
      </w:r>
    </w:p>
    <w:p w:rsidR="00202120" w:rsidRPr="006F63E9" w:rsidRDefault="00202120" w:rsidP="00202120">
      <w:pPr>
        <w:pStyle w:val="a7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Юридичний факультет,</w:t>
      </w:r>
    </w:p>
    <w:p w:rsidR="00202120" w:rsidRPr="006F63E9" w:rsidRDefault="00202120" w:rsidP="00202120">
      <w:pPr>
        <w:pStyle w:val="a7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Національний авіаційний університет, м. Київ</w:t>
      </w:r>
      <w:r>
        <w:rPr>
          <w:color w:val="000000" w:themeColor="text1"/>
          <w:sz w:val="28"/>
          <w:szCs w:val="28"/>
          <w:lang w:val="ru-RU"/>
        </w:rPr>
        <w:t>, Україна</w:t>
      </w:r>
    </w:p>
    <w:p w:rsidR="00202120" w:rsidRDefault="00202120" w:rsidP="00202120">
      <w:pPr>
        <w:pStyle w:val="a7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Науковий керівник: Білоусов В. М., старший викладач</w:t>
      </w:r>
    </w:p>
    <w:p w:rsidR="00202120" w:rsidRPr="006F63E9" w:rsidRDefault="00202120" w:rsidP="00202120">
      <w:pPr>
        <w:pStyle w:val="a7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202120" w:rsidRPr="00C21C3D" w:rsidRDefault="00202120" w:rsidP="00202120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СУЧАСНИМЙ СТАН ЛІЗИНГУ ТА ЙОГО ПЕРСПЕКТИВИ ВІД КРЕДИТУ В УКРАЇНІ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</w:rPr>
        <w:t>Поняття кредитування вже давно увійшло в наше життя. Багато хто сьогодні укладає договір кредитування з банком. Мета його може бути різною: від короткочасної позики досить невеликої суми до тривалої іпотеки.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</w:rPr>
        <w:t>Все залежить від потреб людини.</w:t>
      </w:r>
      <w:r w:rsidRPr="006F63E9">
        <w:rPr>
          <w:color w:val="000000" w:themeColor="text1"/>
          <w:sz w:val="28"/>
          <w:szCs w:val="28"/>
          <w:lang w:val="ru-RU"/>
        </w:rPr>
        <w:t xml:space="preserve"> </w:t>
      </w:r>
      <w:r w:rsidRPr="006F63E9">
        <w:rPr>
          <w:color w:val="000000" w:themeColor="text1"/>
          <w:sz w:val="28"/>
          <w:szCs w:val="28"/>
        </w:rPr>
        <w:t>У той же час, не так давно з’явилася така послуга як лізинг. Її часто порівнюють з кредитуванням. Але наскільки в дійсності близькі подібні пропозиції? І що в кінцевому підсумку вигідніше для клієнта – лізинг або кредит?</w:t>
      </w:r>
      <w:r w:rsidRPr="006F63E9">
        <w:rPr>
          <w:color w:val="000000" w:themeColor="text1"/>
          <w:sz w:val="28"/>
          <w:szCs w:val="28"/>
          <w:lang w:val="ru-RU"/>
        </w:rPr>
        <w:t xml:space="preserve"> Для того, щоб зрозуміти відмінності між кредитом і лізингом, слід дати визначення кожному поняттю[1,с.154-155].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rStyle w:val="a4"/>
          <w:color w:val="000000" w:themeColor="text1"/>
          <w:sz w:val="28"/>
          <w:szCs w:val="28"/>
          <w:lang w:val="ru-RU"/>
        </w:rPr>
        <w:t>Кредитом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є надання банківською організацією коштів позичальнику з метою придбання рухомого або нерухомого майна, поповнення оборотних коштів.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При цьому позичальник надає деяке майно, яке виступає заставою.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У ряді випадків заставним є саме майно, що купується.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rStyle w:val="a4"/>
          <w:color w:val="000000" w:themeColor="text1"/>
          <w:sz w:val="28"/>
          <w:szCs w:val="28"/>
          <w:lang w:val="ru-RU"/>
        </w:rPr>
        <w:t>Лізинг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– процедура, при якій лізингодавець набуває необхідне лізингоодержувачу майно, і передає його в оренду.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При цьому лізингоотримувач має право викупу даного майна, а лізингодавець є його власником до моменту виплати одержувачем повної вартості.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Об’єктом договору може вступати як рухоме, так і нерухоме майно.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  <w:lang w:val="ru-RU"/>
        </w:rPr>
        <w:t>Дані послуги в рівній мірі доступні як фізичним, так і юридичним особам.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Різниця полягає лише в деяких аспектах.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Наприклад, в розмірі процентної ставки і тривалості дії договору, що укладається.</w:t>
      </w:r>
      <w:r w:rsidRPr="006F63E9">
        <w:rPr>
          <w:color w:val="000000" w:themeColor="text1"/>
          <w:sz w:val="28"/>
          <w:szCs w:val="28"/>
        </w:rPr>
        <w:t xml:space="preserve"> В даний час найчастіше об’єктом угод виступають транспортні засоби[2]. У період, коли послуга лізингу тільки з’явилася її пропонували, в основному, іноземні </w:t>
      </w:r>
      <w:r w:rsidRPr="006F63E9">
        <w:rPr>
          <w:color w:val="000000" w:themeColor="text1"/>
          <w:sz w:val="28"/>
          <w:szCs w:val="28"/>
        </w:rPr>
        <w:lastRenderedPageBreak/>
        <w:t>компанії, які мають діючі на території нашої країни філії. Але поступово почали з’являтися спеціалізовані лізингові центри.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</w:rPr>
        <w:t xml:space="preserve">Більш того, сьогодні багато великих банків мають власні лізингові відділи. Їх поява досить просто пояснити: лізингові центри залучають кошти великих інвесторів (якими найчастіше є саме банки)[1.c,178-179].Тому створення відділу, який займається саме лізингом, вигідно будь-якому банку, так як він використовує для угод особисті активи. </w:t>
      </w:r>
      <w:r w:rsidRPr="006F63E9">
        <w:rPr>
          <w:color w:val="000000" w:themeColor="text1"/>
          <w:sz w:val="28"/>
          <w:szCs w:val="28"/>
          <w:lang w:val="ru-RU"/>
        </w:rPr>
        <w:t>Для того, щоб зрозуміти, в чому саме полягає різниця між лізингом і кредитуванням, розглянемо обидві послуги на прикладі покупки автомобіля.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Придбання автомобіля за допомогою лізингу з кожним днем ​​стає все більш затребуваною процедурою. Якщо говорити про необхідні для отримання послуги документах, то пакет мало чим відрізняється від того, що необхідно надати для автокредитування.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Однак, сьогодні багато лізингових центрів не звертають увагу на доходи лізингоодержувача так само як і не цікавляться його кредитною історією.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Справа в тому, що при лізингу одержувач вибирає транспортний засіб, а набуває його лізингодавець.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При цьому лізингодавець є офіційним власником автомобіля, а лізингоодержувач просто бере його в оренду з правом викупу.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При оформленні договору лізингу обов’язково укладається договір страхування. Що стосується першого внеску, то не всі лізингові центри вимагають його.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Транспортний засіб переходить у власність одержувача тільки по закінченню договору за умови, що до цього моменту була погашена повна його вартість. Мабуть, єдиним плюсом автокредитування є той факт, що одержувач спочатку є власником транспортного засобу.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Але при цьому всі витрати по реєстрації та страхування транспортного засобу лягають саме на його плечі.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Плюсом лізингу багато хто вважає той факт, що регулярні виплати істотно нижче, ніж при автокредитуванні.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Крім того, в разі виникнення проблем з транспортним засобом вирішувати їх повинен саме лізингодавець, оскільки саме він вважається власником автомобіля[3,</w:t>
      </w:r>
      <w:r w:rsidRPr="006F63E9">
        <w:rPr>
          <w:color w:val="000000" w:themeColor="text1"/>
          <w:sz w:val="28"/>
          <w:szCs w:val="28"/>
        </w:rPr>
        <w:t>c</w:t>
      </w:r>
      <w:r w:rsidRPr="006F63E9">
        <w:rPr>
          <w:color w:val="000000" w:themeColor="text1"/>
          <w:sz w:val="28"/>
          <w:szCs w:val="28"/>
          <w:lang w:val="ru-RU"/>
        </w:rPr>
        <w:t>.5-6].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 xml:space="preserve">І якщо розглядати питання з даної точки зору, то перевага автокредиту </w:t>
      </w:r>
      <w:r w:rsidRPr="006F63E9">
        <w:rPr>
          <w:color w:val="000000" w:themeColor="text1"/>
          <w:sz w:val="28"/>
          <w:szCs w:val="28"/>
          <w:lang w:val="ru-RU"/>
        </w:rPr>
        <w:lastRenderedPageBreak/>
        <w:t>перетворюється в істотний мінус. Також багато</w:t>
      </w:r>
      <w:r w:rsidRPr="006F63E9">
        <w:rPr>
          <w:color w:val="000000" w:themeColor="text1"/>
          <w:sz w:val="28"/>
          <w:szCs w:val="28"/>
        </w:rPr>
        <w:t> лізингоодержувач</w:t>
      </w:r>
      <w:r w:rsidRPr="006F63E9">
        <w:rPr>
          <w:color w:val="000000" w:themeColor="text1"/>
          <w:sz w:val="28"/>
          <w:szCs w:val="28"/>
          <w:lang w:val="ru-RU"/>
        </w:rPr>
        <w:t>ів відзначають, що вимоги для отримання даної послуги більш лояльні.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У більшості випадків лізингові центри не дивляться на кредитну історію і на рівень доходів.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Крім того, оскільки автомобіль, отриманий за договором лізингу, не є власністю клієнта, відповідно він не вказується в будь-яких документах, які характеризують фінансовий стан компанії.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Тобто, якщо підприємство набуває в лізинг кілька автомобілів, то вони ніде не вказуються[3,</w:t>
      </w:r>
      <w:r w:rsidRPr="006F63E9">
        <w:rPr>
          <w:color w:val="000000" w:themeColor="text1"/>
          <w:sz w:val="28"/>
          <w:szCs w:val="28"/>
        </w:rPr>
        <w:t>c</w:t>
      </w:r>
      <w:r w:rsidRPr="006F63E9">
        <w:rPr>
          <w:color w:val="000000" w:themeColor="text1"/>
          <w:sz w:val="28"/>
          <w:szCs w:val="28"/>
          <w:lang w:val="ru-RU"/>
        </w:rPr>
        <w:t>.8-9]. А в відомостях проходить тільки обов’язкова виплата, яка, до речі, знижує розмір виплачуваного податку.</w:t>
      </w:r>
    </w:p>
    <w:p w:rsidR="00202120" w:rsidRPr="006F63E9" w:rsidRDefault="00202120" w:rsidP="002021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F63E9">
        <w:rPr>
          <w:color w:val="000000" w:themeColor="text1"/>
          <w:sz w:val="28"/>
          <w:szCs w:val="28"/>
          <w:lang w:val="ru-RU"/>
        </w:rPr>
        <w:t>Однозначно сказати, яка з процедур, лізинг або кредитування, є більш вигідною, досить складно.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Багато що залежить від матеріального становища одержувача і запропонованих умов угоди.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В даний час більш вигідною процедурою багато фахівців називають лізинг.</w:t>
      </w:r>
      <w:r w:rsidRPr="006F63E9">
        <w:rPr>
          <w:color w:val="000000" w:themeColor="text1"/>
          <w:sz w:val="28"/>
          <w:szCs w:val="28"/>
        </w:rPr>
        <w:t> </w:t>
      </w:r>
      <w:r w:rsidRPr="006F63E9">
        <w:rPr>
          <w:color w:val="000000" w:themeColor="text1"/>
          <w:sz w:val="28"/>
          <w:szCs w:val="28"/>
          <w:lang w:val="ru-RU"/>
        </w:rPr>
        <w:t>Разом з тим багатьом не подобається, що власником майна, що набуває виступає лізингодавець.</w:t>
      </w:r>
    </w:p>
    <w:p w:rsidR="00202120" w:rsidRPr="006F63E9" w:rsidRDefault="00202120" w:rsidP="002021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3E9">
        <w:rPr>
          <w:rFonts w:ascii="Times New Roman" w:hAnsi="Times New Roman" w:cs="Times New Roman"/>
          <w:sz w:val="28"/>
          <w:szCs w:val="28"/>
        </w:rPr>
        <w:t>Література</w:t>
      </w:r>
    </w:p>
    <w:p w:rsidR="00202120" w:rsidRPr="006F63E9" w:rsidRDefault="00202120" w:rsidP="00202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E9">
        <w:rPr>
          <w:rFonts w:ascii="Times New Roman" w:hAnsi="Times New Roman" w:cs="Times New Roman"/>
          <w:sz w:val="28"/>
          <w:szCs w:val="28"/>
        </w:rPr>
        <w:t>1. Ментух Н.Ф. Правовий статус учасників лізингової діяльності в Україні: автореф. дис. … канд. юрид. наук : 12.00.04 / Ментух Наталія Фелікіссівна ; Наук.-дослід. ін-т приватного права і підприємництва нац. акад. правових наук України. — К., 2014. — 19 с. — Бібліогр.: 254 с.</w:t>
      </w:r>
    </w:p>
    <w:p w:rsidR="00202120" w:rsidRDefault="00202120" w:rsidP="00202120">
      <w:pPr>
        <w:pStyle w:val="a5"/>
        <w:spacing w:line="360" w:lineRule="auto"/>
        <w:ind w:firstLine="709"/>
        <w:rPr>
          <w:color w:val="000000" w:themeColor="text1"/>
          <w:szCs w:val="28"/>
        </w:rPr>
      </w:pPr>
      <w:r w:rsidRPr="006F63E9">
        <w:rPr>
          <w:color w:val="000000" w:themeColor="text1"/>
          <w:szCs w:val="28"/>
        </w:rPr>
        <w:t>2. Цивільний кодекс України: науково-практичний коментар. – Т. 12: Спадкове право / за ред. проф. І. В. Спасибо-Фатєєвої – Х.: ФО-П Колісник А.А., 2015. – 544 с.</w:t>
      </w:r>
    </w:p>
    <w:p w:rsidR="00202120" w:rsidRDefault="00202120">
      <w:bookmarkStart w:id="1" w:name="_GoBack"/>
      <w:bookmarkEnd w:id="1"/>
    </w:p>
    <w:sectPr w:rsidR="0020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0"/>
    <w:rsid w:val="0020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D1A-0AF9-40C5-B23A-244541B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120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21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021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3">
    <w:name w:val="Normal (Web)"/>
    <w:basedOn w:val="a"/>
    <w:uiPriority w:val="99"/>
    <w:unhideWhenUsed/>
    <w:rsid w:val="0020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2120"/>
    <w:rPr>
      <w:b/>
      <w:bCs/>
    </w:rPr>
  </w:style>
  <w:style w:type="paragraph" w:customStyle="1" w:styleId="a5">
    <w:name w:val="літ осн"/>
    <w:basedOn w:val="a"/>
    <w:link w:val="a6"/>
    <w:rsid w:val="00202120"/>
    <w:pPr>
      <w:widowControl w:val="0"/>
      <w:autoSpaceDE w:val="0"/>
      <w:autoSpaceDN w:val="0"/>
      <w:adjustRightInd w:val="0"/>
      <w:spacing w:after="0" w:line="233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літ осн Знак"/>
    <w:link w:val="a5"/>
    <w:rsid w:val="002021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Підп"/>
    <w:basedOn w:val="a"/>
    <w:link w:val="a8"/>
    <w:rsid w:val="00202120"/>
    <w:pPr>
      <w:keepNext/>
      <w:widowControl w:val="0"/>
      <w:autoSpaceDE w:val="0"/>
      <w:autoSpaceDN w:val="0"/>
      <w:adjustRightInd w:val="0"/>
      <w:spacing w:after="0" w:line="233" w:lineRule="auto"/>
      <w:ind w:firstLine="510"/>
      <w:jc w:val="right"/>
    </w:pPr>
    <w:rPr>
      <w:rFonts w:ascii="Times New Roman" w:eastAsia="Times New Roman" w:hAnsi="Times New Roman" w:cs="Times New Roman"/>
      <w:color w:val="000000"/>
      <w:sz w:val="30"/>
      <w:szCs w:val="20"/>
      <w:lang w:val="en-US" w:eastAsia="ru-RU"/>
    </w:rPr>
  </w:style>
  <w:style w:type="character" w:customStyle="1" w:styleId="a8">
    <w:name w:val="Підп Знак"/>
    <w:link w:val="a7"/>
    <w:rsid w:val="00202120"/>
    <w:rPr>
      <w:rFonts w:ascii="Times New Roman" w:eastAsia="Times New Roman" w:hAnsi="Times New Roman" w:cs="Times New Roman"/>
      <w:color w:val="000000"/>
      <w:sz w:val="3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2019-06-23T11:55:00Z</dcterms:created>
  <dcterms:modified xsi:type="dcterms:W3CDTF">2019-06-23T11:55:00Z</dcterms:modified>
</cp:coreProperties>
</file>