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DD9" w:rsidRPr="006F63E9" w:rsidRDefault="00676DD9" w:rsidP="00676DD9">
      <w:pPr>
        <w:spacing w:after="0" w:line="360" w:lineRule="auto"/>
        <w:ind w:firstLine="709"/>
        <w:jc w:val="both"/>
        <w:rPr>
          <w:rFonts w:ascii="Times New Roman" w:hAnsi="Times New Roman" w:cs="Times New Roman"/>
          <w:color w:val="000000" w:themeColor="text1"/>
          <w:sz w:val="28"/>
          <w:szCs w:val="28"/>
        </w:rPr>
      </w:pPr>
      <w:r>
        <w:rPr>
          <w:rStyle w:val="a3"/>
          <w:rFonts w:ascii="Times New Roman" w:hAnsi="Times New Roman" w:cs="Times New Roman"/>
          <w:color w:val="000000" w:themeColor="text1"/>
          <w:sz w:val="28"/>
          <w:szCs w:val="28"/>
        </w:rPr>
        <w:t>УДК 347.21 (043.2)</w:t>
      </w:r>
    </w:p>
    <w:p w:rsidR="00676DD9" w:rsidRPr="003A29CE" w:rsidRDefault="00676DD9" w:rsidP="00676D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ind w:firstLine="709"/>
        <w:jc w:val="right"/>
        <w:rPr>
          <w:rFonts w:ascii="Times New Roman" w:eastAsia="TimesNewRomanPSMT" w:hAnsi="Times New Roman" w:cs="Times New Roman"/>
          <w:color w:val="000000" w:themeColor="text1"/>
          <w:sz w:val="28"/>
          <w:szCs w:val="28"/>
        </w:rPr>
      </w:pPr>
      <w:r w:rsidRPr="003A29CE">
        <w:rPr>
          <w:rFonts w:ascii="Times New Roman" w:eastAsia="TimesNewRomanPS-BoldMT" w:hAnsi="Times New Roman" w:cs="Times New Roman"/>
          <w:b/>
          <w:bCs/>
          <w:color w:val="000000" w:themeColor="text1"/>
          <w:sz w:val="28"/>
          <w:szCs w:val="28"/>
        </w:rPr>
        <w:t>Спірін В.Г. ,</w:t>
      </w:r>
      <w:r w:rsidRPr="003A29CE">
        <w:rPr>
          <w:rFonts w:ascii="Times New Roman" w:eastAsia="TimesNewRomanPSMT" w:hAnsi="Times New Roman" w:cs="Times New Roman"/>
          <w:color w:val="000000" w:themeColor="text1"/>
          <w:sz w:val="28"/>
          <w:szCs w:val="28"/>
        </w:rPr>
        <w:t>студент,</w:t>
      </w:r>
    </w:p>
    <w:p w:rsidR="00676DD9" w:rsidRPr="003A29CE" w:rsidRDefault="00676DD9" w:rsidP="00676D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ind w:firstLine="709"/>
        <w:jc w:val="right"/>
        <w:rPr>
          <w:rFonts w:ascii="Times New Roman" w:eastAsia="TimesNewRomanPSMT" w:hAnsi="Times New Roman" w:cs="Times New Roman"/>
          <w:color w:val="000000" w:themeColor="text1"/>
          <w:sz w:val="28"/>
          <w:szCs w:val="28"/>
        </w:rPr>
      </w:pPr>
      <w:r w:rsidRPr="003A29CE">
        <w:rPr>
          <w:rFonts w:ascii="Times New Roman" w:eastAsia="TimesNewRomanPSMT" w:hAnsi="Times New Roman" w:cs="Times New Roman"/>
          <w:color w:val="000000" w:themeColor="text1"/>
          <w:sz w:val="28"/>
          <w:szCs w:val="28"/>
        </w:rPr>
        <w:t>Юридичний факультет,</w:t>
      </w:r>
    </w:p>
    <w:p w:rsidR="00676DD9" w:rsidRPr="003A29CE" w:rsidRDefault="00676DD9" w:rsidP="00676D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ind w:firstLine="709"/>
        <w:jc w:val="right"/>
        <w:rPr>
          <w:rFonts w:ascii="Times New Roman" w:eastAsia="TimesNewRomanPSMT" w:hAnsi="Times New Roman" w:cs="Times New Roman"/>
          <w:color w:val="000000" w:themeColor="text1"/>
          <w:sz w:val="28"/>
          <w:szCs w:val="28"/>
        </w:rPr>
      </w:pPr>
      <w:bookmarkStart w:id="0" w:name="_GoBack"/>
      <w:bookmarkEnd w:id="0"/>
      <w:r w:rsidRPr="003A29CE">
        <w:rPr>
          <w:rFonts w:ascii="Times New Roman" w:eastAsia="TimesNewRomanPSMT" w:hAnsi="Times New Roman" w:cs="Times New Roman"/>
          <w:color w:val="000000" w:themeColor="text1"/>
          <w:sz w:val="28"/>
          <w:szCs w:val="28"/>
        </w:rPr>
        <w:t>Національний авіаційний університет, м.Київ</w:t>
      </w:r>
    </w:p>
    <w:p w:rsidR="00676DD9" w:rsidRDefault="00676DD9" w:rsidP="00676D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ind w:firstLine="709"/>
        <w:jc w:val="right"/>
        <w:rPr>
          <w:rFonts w:ascii="Times New Roman" w:eastAsia="TimesNewRomanPSMT" w:hAnsi="Times New Roman" w:cs="Times New Roman"/>
          <w:color w:val="000000" w:themeColor="text1"/>
          <w:sz w:val="28"/>
          <w:szCs w:val="28"/>
        </w:rPr>
      </w:pPr>
      <w:r w:rsidRPr="003A29CE">
        <w:rPr>
          <w:rFonts w:ascii="Times New Roman" w:eastAsia="TimesNewRomanPSMT" w:hAnsi="Times New Roman" w:cs="Times New Roman"/>
          <w:color w:val="000000" w:themeColor="text1"/>
          <w:sz w:val="28"/>
          <w:szCs w:val="28"/>
        </w:rPr>
        <w:t>Науковий керівник: Білоусов В. М., старший викладач</w:t>
      </w:r>
    </w:p>
    <w:p w:rsidR="00676DD9" w:rsidRPr="006F63E9" w:rsidRDefault="00676DD9" w:rsidP="00676D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ind w:firstLine="709"/>
        <w:jc w:val="right"/>
        <w:rPr>
          <w:rFonts w:ascii="Times New Roman" w:eastAsia="TimesNewRomanPSMT" w:hAnsi="Times New Roman" w:cs="Times New Roman"/>
          <w:color w:val="000000" w:themeColor="text1"/>
          <w:sz w:val="28"/>
          <w:szCs w:val="28"/>
        </w:rPr>
      </w:pPr>
    </w:p>
    <w:p w:rsidR="00676DD9" w:rsidRPr="0054572E" w:rsidRDefault="00676DD9" w:rsidP="00676D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ind w:firstLine="709"/>
        <w:jc w:val="center"/>
        <w:rPr>
          <w:rFonts w:ascii="Times New Roman" w:eastAsia="TimesNewRomanPSMT" w:hAnsi="Times New Roman" w:cs="Times New Roman"/>
          <w:b/>
          <w:color w:val="000000" w:themeColor="text1"/>
          <w:sz w:val="28"/>
          <w:szCs w:val="28"/>
        </w:rPr>
      </w:pPr>
      <w:r w:rsidRPr="0054572E">
        <w:rPr>
          <w:rFonts w:ascii="Times New Roman" w:eastAsia="TimesNewRomanPS-BoldMT" w:hAnsi="Times New Roman" w:cs="Times New Roman"/>
          <w:b/>
          <w:color w:val="000000" w:themeColor="text1"/>
          <w:sz w:val="28"/>
          <w:szCs w:val="28"/>
        </w:rPr>
        <w:t>КАТЕГОРІЯ «НЕРУХОМА РІЧ» В ЦИВІЛЬНОМУ ПРАВІ</w:t>
      </w:r>
    </w:p>
    <w:p w:rsidR="00676DD9" w:rsidRPr="006F63E9" w:rsidRDefault="00676DD9" w:rsidP="00676D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rPr>
          <w:rFonts w:ascii="Times New Roman" w:eastAsia="TimesNewRomanPSMT"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F63E9">
        <w:rPr>
          <w:rFonts w:ascii="Times New Roman" w:hAnsi="Times New Roman" w:cs="Times New Roman"/>
          <w:color w:val="000000" w:themeColor="text1"/>
          <w:sz w:val="28"/>
          <w:szCs w:val="28"/>
        </w:rPr>
        <w:t>Дослідженню категорії «нерухомої речі» приділялася і на сьогодні продовжує приділятися значна увага багатьма наук</w:t>
      </w:r>
      <w:r>
        <w:rPr>
          <w:rFonts w:ascii="Times New Roman" w:hAnsi="Times New Roman" w:cs="Times New Roman"/>
          <w:color w:val="000000" w:themeColor="text1"/>
          <w:sz w:val="28"/>
          <w:szCs w:val="28"/>
        </w:rPr>
        <w:t>овцями, оскільки остання і досі</w:t>
      </w:r>
      <w:r w:rsidRPr="006F63E9">
        <w:rPr>
          <w:rFonts w:ascii="Times New Roman" w:hAnsi="Times New Roman" w:cs="Times New Roman"/>
          <w:color w:val="000000" w:themeColor="text1"/>
          <w:sz w:val="28"/>
          <w:szCs w:val="28"/>
        </w:rPr>
        <w:t>залишає за собою багато запитань, дискусій, роздумів щодо її природи.</w:t>
      </w:r>
    </w:p>
    <w:p w:rsidR="00676DD9" w:rsidRPr="006F63E9" w:rsidRDefault="00676DD9" w:rsidP="00676D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ind w:firstLine="709"/>
        <w:jc w:val="both"/>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Своє правове закріплення дефініція нерухомої речі, знайшла місце в ст. 181 ЦК України, яка визначає, що до нерухомих речей (нерухоме майно, нерухомість) належать земельні ділянки, а також об’єкти, розташовані на 2 земельній ділянці, переміщення яких є неможливим без їх знецінення та зміни їх призначення. Режим нерухомої речі може бути поширений законом на повітряні та морські судна, судна внутрішнього плавання, космічні об’єкти, а також інші речі, права на які підлягають державній реєстрації [1].</w:t>
      </w:r>
    </w:p>
    <w:p w:rsidR="00676DD9" w:rsidRPr="006F63E9" w:rsidRDefault="00676DD9" w:rsidP="00676D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ind w:firstLine="709"/>
        <w:jc w:val="both"/>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Як бачимо законодавець одночасно використовує такі поняття як «нерухома річ», «нерухоме майно» та «нерухомість». Виникає питання щодо співвідношення вказаних понять та їх взаємний зв’язок. Треба зазначити, що це питання досліджувалося багатьма науковцями. Узагальнюючи висловлені в літературі думки можна вказати на існування двох прямо протилежних позицій. Згідно з першою – «нерухома річ», «нерухоме майно» та «нерухомість» є тотожними поняттями [2, c. 11; 3, с. 44], відповідно до другої – це окремі поняття, кожне з яких має свій власний зміст [4, с. 9-10; 5, с. 102; 6, с. 355].</w:t>
      </w:r>
    </w:p>
    <w:p w:rsidR="00676DD9" w:rsidRPr="006F63E9" w:rsidRDefault="00676DD9" w:rsidP="00676D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ind w:firstLine="709"/>
        <w:jc w:val="both"/>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 xml:space="preserve">При визначенні поняття нерухомої речі в літературі відзначаються різноманітні ознаки, що притаманні нерухомим речам, особливості, які відрізняють нерухомі речі від інших об’єктів цивільних правовідносин. З </w:t>
      </w:r>
      <w:r w:rsidRPr="006F63E9">
        <w:rPr>
          <w:rFonts w:ascii="Times New Roman" w:hAnsi="Times New Roman" w:cs="Times New Roman"/>
          <w:color w:val="000000" w:themeColor="text1"/>
          <w:sz w:val="28"/>
          <w:szCs w:val="28"/>
        </w:rPr>
        <w:lastRenderedPageBreak/>
        <w:t xml:space="preserve">урахуванням висловлених в літературі позицій та закріпленої у ст.181 ЦК України дефініції, необхідно розглянути наступні ознаки нерухомої речі: </w:t>
      </w:r>
    </w:p>
    <w:p w:rsidR="00676DD9" w:rsidRPr="006F63E9" w:rsidRDefault="00676DD9" w:rsidP="00676DD9">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ind w:left="0" w:firstLine="709"/>
        <w:jc w:val="both"/>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 xml:space="preserve">природне походження; </w:t>
      </w:r>
    </w:p>
    <w:p w:rsidR="00676DD9" w:rsidRPr="006F63E9" w:rsidRDefault="00676DD9" w:rsidP="00676DD9">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ind w:left="0" w:firstLine="709"/>
        <w:jc w:val="both"/>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 xml:space="preserve">фізична фіксованість речі у просторі та неможливість переміщення без знецінення або зміни призначення; </w:t>
      </w:r>
    </w:p>
    <w:p w:rsidR="00676DD9" w:rsidRPr="006F63E9" w:rsidRDefault="00676DD9" w:rsidP="00676DD9">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ind w:left="0" w:firstLine="709"/>
        <w:jc w:val="both"/>
        <w:rPr>
          <w:rFonts w:ascii="Times New Roman" w:eastAsia="TimesNewRomanPSMT" w:hAnsi="Times New Roman" w:cs="Times New Roman"/>
          <w:b/>
          <w:color w:val="000000" w:themeColor="text1"/>
          <w:sz w:val="28"/>
          <w:szCs w:val="28"/>
        </w:rPr>
      </w:pPr>
      <w:r w:rsidRPr="006F63E9">
        <w:rPr>
          <w:rFonts w:ascii="Times New Roman" w:hAnsi="Times New Roman" w:cs="Times New Roman"/>
          <w:color w:val="000000" w:themeColor="text1"/>
          <w:sz w:val="28"/>
          <w:szCs w:val="28"/>
        </w:rPr>
        <w:t>«юридичний характер» – державна реєстрація прав на нерухому річ.</w:t>
      </w:r>
    </w:p>
    <w:p w:rsidR="00676DD9" w:rsidRPr="006F63E9" w:rsidRDefault="00676DD9" w:rsidP="00676D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ind w:firstLine="709"/>
        <w:jc w:val="both"/>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 xml:space="preserve">Земельні ділянки традиційно належать до нерухомих речей. Водночас виникає необхідність визначитися щодо такого поняття, як «об’єкти, розташовані на земельній ділянці, переміщення яких є неможливим». Це поняття використовується поряд з поняттям «земельна ділянка» і нерозривно з ним пов’язане. </w:t>
      </w:r>
    </w:p>
    <w:p w:rsidR="00676DD9" w:rsidRPr="006F63E9" w:rsidRDefault="00676DD9" w:rsidP="00676D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ind w:firstLine="709"/>
        <w:jc w:val="both"/>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Класифікація речей на рухомі та нерухомі, а відповідно і дефініція нерухомої речі в ст. 181 ЦК України заснована виключно на фізичних властивостях самих об'єктів. Ще В.Б. Єльяшевич на початку ХХ ст. зазначав, що наша практика вслід за більш старою західноєвропейською та російською теорією бачила загальний критерій для розмежування рухомих і нерухомих речей виходячи з етимології слова, у здатності предмета до переміщення без пошкодження [4, c. 5].</w:t>
      </w:r>
    </w:p>
    <w:p w:rsidR="00676DD9" w:rsidRPr="006F63E9" w:rsidRDefault="00676DD9" w:rsidP="00676D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ind w:firstLine="709"/>
        <w:jc w:val="both"/>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 xml:space="preserve">В той же час, якщо проаналізувати абз. 2 ч. 1 ст. 181 ЦК України та порівняти його з абз. 1 ч.1 тієї ж статті (з дефініцією нерухомої речі), то можна зробити висновок, що абз. 2 надає можливість віднести все що завгодно до нерухомих речей (лише необхідна державна реєстрація в реєстрі прав на нерухомі речі). В свій час Д. І. Мейєр, який писав про те, що немає необхідності в тому щоб «юридичний поділ майна на нерухоме та рухоме співпадало з фізичною нерухомістю або рухомістю речей: в сфері права цей поділ майна має те значення, що одні визначення пов’язуються з майном нерухомим, другі – з майном рухомим; але чи дійсно майно, що визнається за законом нерухомим, нерухоме за своєю природою, або воно рухоме – це все одно; і навіть якщо, наприклад, законодавець знайде потрібним будь-яке визначення, що пов’язане з нерухомим майном поширити і на майно рухоме, </w:t>
      </w:r>
      <w:r w:rsidRPr="006F63E9">
        <w:rPr>
          <w:rFonts w:ascii="Times New Roman" w:hAnsi="Times New Roman" w:cs="Times New Roman"/>
          <w:color w:val="000000" w:themeColor="text1"/>
          <w:sz w:val="28"/>
          <w:szCs w:val="28"/>
        </w:rPr>
        <w:lastRenderedPageBreak/>
        <w:t xml:space="preserve">то визначення це буде застосовуватися і до рухомого майна, і навпаки»[4, c. 2]. </w:t>
      </w:r>
    </w:p>
    <w:p w:rsidR="00676DD9" w:rsidRPr="006F63E9" w:rsidRDefault="00676DD9" w:rsidP="00676D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ind w:firstLine="709"/>
        <w:jc w:val="both"/>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Тому не можна не визнати, що поняття нерухомої речі формується не лише за її фізичними, але і юридичними властивостями та в повній мірі залежить від уявлень законодавця. Але слід наголосити, що фізичні властивості самої речі, а саме «зв'язок з землею», свого значення не втрачає при визначенні ознак нерухомої речі. Абз. 2 ч. 1 ст. 181 ЦК України слід розглядати як певне виключення із загального правила про поняття нер</w:t>
      </w:r>
      <w:r>
        <w:rPr>
          <w:rFonts w:ascii="Times New Roman" w:hAnsi="Times New Roman" w:cs="Times New Roman"/>
          <w:color w:val="000000" w:themeColor="text1"/>
          <w:sz w:val="28"/>
          <w:szCs w:val="28"/>
        </w:rPr>
        <w:t>ухома річ, ніж як саме правило.</w:t>
      </w:r>
    </w:p>
    <w:p w:rsidR="00676DD9" w:rsidRPr="006F63E9" w:rsidRDefault="00676DD9" w:rsidP="00676D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ind w:firstLine="709"/>
        <w:jc w:val="both"/>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 xml:space="preserve">Отже, якщо відійти від старих традицій, що покладені в основу конструювання ст.181 ЦК України (фізичний (матеріальний) аспект) і поглянути на поділ речей на рухомі та нерухомі з сучасних позицій запропонованої матеріально-юридичної природи їх розуміння, то можна запропонувати наступну редакцію ст. 181 ЦК України. </w:t>
      </w:r>
    </w:p>
    <w:p w:rsidR="00676DD9" w:rsidRPr="000A0808" w:rsidRDefault="00676DD9" w:rsidP="00676D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ind w:firstLine="709"/>
        <w:jc w:val="both"/>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 xml:space="preserve">Стаття 181. Нерухомі та рухомі речі 1. До нерухомих речей (нерухомого майна) належать земельні ділянки, а також об’єкти розташовані на та під нею, переміщення яких є неможливим без їхнього знецінення та зміни призначення. Щодо нерухомих речей встановлюється спеціальний правовий режим (порядок набуття, володіння, користування та відчуження, а також державної реєстрації об’єктів та прав на них). 2. До квазінерухомих речей належать повітряні та морські судна, судна внутрішнього плавання, космічні об’єкти та інші рухомі речі, права на які підлягають державній реєстрації. 3. Рухомими речами є речі, які можна </w:t>
      </w:r>
      <w:r>
        <w:rPr>
          <w:rFonts w:ascii="Times New Roman" w:hAnsi="Times New Roman" w:cs="Times New Roman"/>
          <w:color w:val="000000" w:themeColor="text1"/>
          <w:sz w:val="28"/>
          <w:szCs w:val="28"/>
        </w:rPr>
        <w:t>вільно переміщувати у просторі.</w:t>
      </w:r>
    </w:p>
    <w:p w:rsidR="00676DD9" w:rsidRPr="006F63E9" w:rsidRDefault="00676DD9" w:rsidP="00676D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ind w:firstLine="709"/>
        <w:jc w:val="center"/>
        <w:rPr>
          <w:rFonts w:ascii="Times New Roman" w:eastAsia="TimesNewRomanPSMT" w:hAnsi="Times New Roman" w:cs="Times New Roman"/>
          <w:color w:val="000000" w:themeColor="text1"/>
          <w:sz w:val="28"/>
          <w:szCs w:val="28"/>
        </w:rPr>
      </w:pPr>
      <w:r w:rsidRPr="006F63E9">
        <w:rPr>
          <w:rFonts w:ascii="Times New Roman" w:eastAsia="TimesNewRomanPSMT" w:hAnsi="Times New Roman" w:cs="Times New Roman"/>
          <w:color w:val="000000" w:themeColor="text1"/>
          <w:sz w:val="28"/>
          <w:szCs w:val="28"/>
        </w:rPr>
        <w:t>Література</w:t>
      </w:r>
    </w:p>
    <w:p w:rsidR="00676DD9" w:rsidRPr="006F63E9" w:rsidRDefault="00676DD9" w:rsidP="00676DD9">
      <w:pPr>
        <w:widowControl w:val="0"/>
        <w:numPr>
          <w:ilvl w:val="0"/>
          <w:numId w:val="2"/>
        </w:numPr>
        <w:suppressAutoHyphens/>
        <w:autoSpaceDE w:val="0"/>
        <w:spacing w:after="0" w:line="360" w:lineRule="auto"/>
        <w:ind w:left="0" w:firstLine="709"/>
        <w:jc w:val="both"/>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Цивільний кодекс України [Текст] : Закон України від 16.01.2003 р. № 435-ІV// Відом. Верхов. Ради України. – 2003. – №№ 40-44. – ст. 356.</w:t>
      </w:r>
    </w:p>
    <w:p w:rsidR="00676DD9" w:rsidRPr="006F63E9" w:rsidRDefault="00676DD9" w:rsidP="00676DD9">
      <w:pPr>
        <w:widowControl w:val="0"/>
        <w:numPr>
          <w:ilvl w:val="0"/>
          <w:numId w:val="2"/>
        </w:numPr>
        <w:suppressAutoHyphens/>
        <w:autoSpaceDE w:val="0"/>
        <w:spacing w:after="0" w:line="360" w:lineRule="auto"/>
        <w:ind w:left="0" w:firstLine="709"/>
        <w:jc w:val="both"/>
        <w:rPr>
          <w:rFonts w:ascii="Times New Roman" w:eastAsia="TimesNewRomanPSMT" w:hAnsi="Times New Roman" w:cs="Times New Roman"/>
          <w:color w:val="000000" w:themeColor="text1"/>
          <w:sz w:val="28"/>
          <w:szCs w:val="28"/>
        </w:rPr>
      </w:pPr>
      <w:r w:rsidRPr="006F63E9">
        <w:rPr>
          <w:rFonts w:ascii="Times New Roman" w:hAnsi="Times New Roman" w:cs="Times New Roman"/>
          <w:color w:val="000000" w:themeColor="text1"/>
          <w:sz w:val="28"/>
          <w:szCs w:val="28"/>
        </w:rPr>
        <w:t>Орлова, М. Недвижимое имущество и ипотека [Текст] / М. Орлова // Российская юстиция. – 1998. – № 11. – С.10-12.</w:t>
      </w:r>
    </w:p>
    <w:p w:rsidR="00676DD9" w:rsidRPr="006F63E9" w:rsidRDefault="00676DD9" w:rsidP="00676DD9">
      <w:pPr>
        <w:widowControl w:val="0"/>
        <w:numPr>
          <w:ilvl w:val="0"/>
          <w:numId w:val="2"/>
        </w:numPr>
        <w:suppressAutoHyphens/>
        <w:autoSpaceDE w:val="0"/>
        <w:spacing w:after="0" w:line="360" w:lineRule="auto"/>
        <w:ind w:left="0" w:firstLine="709"/>
        <w:jc w:val="both"/>
        <w:rPr>
          <w:rFonts w:ascii="Times New Roman" w:eastAsia="TimesNewRomanPSMT" w:hAnsi="Times New Roman" w:cs="Times New Roman"/>
          <w:color w:val="000000" w:themeColor="text1"/>
          <w:sz w:val="28"/>
          <w:szCs w:val="28"/>
        </w:rPr>
      </w:pPr>
      <w:r w:rsidRPr="006F63E9">
        <w:rPr>
          <w:rFonts w:ascii="Times New Roman" w:hAnsi="Times New Roman" w:cs="Times New Roman"/>
          <w:color w:val="000000" w:themeColor="text1"/>
          <w:sz w:val="28"/>
          <w:szCs w:val="28"/>
        </w:rPr>
        <w:t xml:space="preserve">Виноградов, П.М. Правовое регулирование природной и рукотворной недвижимости [Текст] : автор. дис. …канд. юрид. наук : 12.00.03 </w:t>
      </w:r>
      <w:r w:rsidRPr="006F63E9">
        <w:rPr>
          <w:rFonts w:ascii="Times New Roman" w:hAnsi="Times New Roman" w:cs="Times New Roman"/>
          <w:color w:val="000000" w:themeColor="text1"/>
          <w:sz w:val="28"/>
          <w:szCs w:val="28"/>
        </w:rPr>
        <w:lastRenderedPageBreak/>
        <w:t>/ Виноградов Павел Николаевич ; Московский государственный университет Правительства Москвы. – М.: [б.в.], 2008. – 27 c.</w:t>
      </w:r>
    </w:p>
    <w:p w:rsidR="00676DD9" w:rsidRPr="000A0808" w:rsidRDefault="00676DD9" w:rsidP="00676DD9">
      <w:pPr>
        <w:widowControl w:val="0"/>
        <w:numPr>
          <w:ilvl w:val="0"/>
          <w:numId w:val="2"/>
        </w:numPr>
        <w:suppressAutoHyphens/>
        <w:autoSpaceDE w:val="0"/>
        <w:spacing w:after="0" w:line="360" w:lineRule="auto"/>
        <w:ind w:left="0" w:firstLine="709"/>
        <w:jc w:val="both"/>
        <w:rPr>
          <w:rFonts w:ascii="Times New Roman" w:eastAsia="TimesNewRomanPSMT" w:hAnsi="Times New Roman" w:cs="Times New Roman"/>
          <w:color w:val="000000" w:themeColor="text1"/>
          <w:sz w:val="28"/>
          <w:szCs w:val="28"/>
        </w:rPr>
      </w:pPr>
      <w:r w:rsidRPr="000A0808">
        <w:rPr>
          <w:rFonts w:ascii="Times New Roman" w:hAnsi="Times New Roman" w:cs="Times New Roman"/>
          <w:color w:val="000000" w:themeColor="text1"/>
          <w:sz w:val="28"/>
          <w:szCs w:val="28"/>
          <w:shd w:val="clear" w:color="auto" w:fill="FFFFFF"/>
        </w:rPr>
        <w:t xml:space="preserve">Ходико Ю. Є. Категорія «нерухома річ» в цивільному праві / Ю. Є. Ходико </w:t>
      </w:r>
      <w:r>
        <w:rPr>
          <w:rFonts w:ascii="Times New Roman" w:hAnsi="Times New Roman" w:cs="Times New Roman"/>
          <w:color w:val="000000" w:themeColor="text1"/>
          <w:sz w:val="28"/>
          <w:szCs w:val="28"/>
          <w:shd w:val="clear" w:color="auto" w:fill="FFFFFF"/>
        </w:rPr>
        <w:t>.</w:t>
      </w:r>
    </w:p>
    <w:p w:rsidR="00676DD9" w:rsidRDefault="00676DD9"/>
    <w:sectPr w:rsidR="00676D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NewRomanPS-BoldMT">
    <w:charset w:val="00"/>
    <w:family w:val="roman"/>
    <w:pitch w:val="default"/>
  </w:font>
  <w:font w:name="TimesNewRomanPSMT">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71F7D"/>
    <w:multiLevelType w:val="hybridMultilevel"/>
    <w:tmpl w:val="9FFE4044"/>
    <w:lvl w:ilvl="0" w:tplc="D010893E">
      <w:start w:val="1"/>
      <w:numFmt w:val="decimal"/>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5C45A03"/>
    <w:multiLevelType w:val="hybridMultilevel"/>
    <w:tmpl w:val="AE928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D9"/>
    <w:rsid w:val="00676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1DBD0-A5F9-4E86-BC02-38ED0AAF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6DD9"/>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6D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856</Words>
  <Characters>4884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2019-06-23T11:50:00Z</dcterms:created>
  <dcterms:modified xsi:type="dcterms:W3CDTF">2019-06-23T11:51:00Z</dcterms:modified>
</cp:coreProperties>
</file>