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81" w:rsidRPr="004B64DA" w:rsidRDefault="00A40D81" w:rsidP="00A40D81">
      <w:pPr>
        <w:spacing w:after="0" w:line="240" w:lineRule="auto"/>
        <w:ind w:firstLine="284"/>
        <w:jc w:val="both"/>
        <w:rPr>
          <w:sz w:val="20"/>
          <w:szCs w:val="20"/>
        </w:rPr>
      </w:pPr>
      <w:bookmarkStart w:id="0" w:name="_Toc516237698"/>
      <w:r w:rsidRPr="004B64DA">
        <w:rPr>
          <w:sz w:val="20"/>
          <w:szCs w:val="20"/>
        </w:rPr>
        <w:t>УДК 339.727.2</w:t>
      </w:r>
    </w:p>
    <w:p w:rsidR="00A40D81" w:rsidRPr="00847CD1" w:rsidRDefault="00A40D81" w:rsidP="00A40D81">
      <w:pPr>
        <w:spacing w:after="0" w:line="240" w:lineRule="auto"/>
        <w:ind w:firstLine="284"/>
        <w:jc w:val="right"/>
        <w:rPr>
          <w:b/>
          <w:sz w:val="20"/>
          <w:szCs w:val="20"/>
        </w:rPr>
      </w:pPr>
      <w:r w:rsidRPr="00847CD1">
        <w:rPr>
          <w:b/>
          <w:sz w:val="20"/>
          <w:szCs w:val="20"/>
        </w:rPr>
        <w:t>НАБОК І.І.</w:t>
      </w:r>
    </w:p>
    <w:p w:rsidR="00A40D81" w:rsidRPr="00A40D81" w:rsidRDefault="00A40D81" w:rsidP="00A40D81">
      <w:pPr>
        <w:spacing w:after="0" w:line="240" w:lineRule="auto"/>
        <w:ind w:firstLine="284"/>
        <w:jc w:val="right"/>
        <w:rPr>
          <w:sz w:val="20"/>
          <w:szCs w:val="20"/>
          <w:lang w:val="uk-UA"/>
        </w:rPr>
      </w:pPr>
      <w:r w:rsidRPr="00A40D81">
        <w:rPr>
          <w:sz w:val="20"/>
          <w:szCs w:val="20"/>
          <w:lang w:val="uk-UA"/>
        </w:rPr>
        <w:t xml:space="preserve">канд. </w:t>
      </w:r>
      <w:proofErr w:type="spellStart"/>
      <w:r w:rsidRPr="00A40D81">
        <w:rPr>
          <w:sz w:val="20"/>
          <w:szCs w:val="20"/>
          <w:lang w:val="uk-UA"/>
        </w:rPr>
        <w:t>екон</w:t>
      </w:r>
      <w:proofErr w:type="spellEnd"/>
      <w:r w:rsidRPr="00A40D81">
        <w:rPr>
          <w:sz w:val="20"/>
          <w:szCs w:val="20"/>
          <w:lang w:val="uk-UA"/>
        </w:rPr>
        <w:t>. наук, доцент</w:t>
      </w:r>
    </w:p>
    <w:p w:rsidR="00A40D81" w:rsidRPr="00A40D81" w:rsidRDefault="00A40D81" w:rsidP="00A40D81">
      <w:pPr>
        <w:spacing w:after="0" w:line="240" w:lineRule="auto"/>
        <w:ind w:firstLine="284"/>
        <w:jc w:val="right"/>
        <w:rPr>
          <w:sz w:val="20"/>
          <w:szCs w:val="20"/>
          <w:lang w:val="uk-UA"/>
        </w:rPr>
      </w:pPr>
      <w:r w:rsidRPr="00A40D81">
        <w:rPr>
          <w:sz w:val="20"/>
          <w:szCs w:val="20"/>
          <w:lang w:val="uk-UA"/>
        </w:rPr>
        <w:t>доцент кафедри міжнародних економічних відносин і бізнесу</w:t>
      </w:r>
    </w:p>
    <w:p w:rsidR="00A40D81" w:rsidRPr="00A40D81" w:rsidRDefault="00A40D81" w:rsidP="00A40D81">
      <w:pPr>
        <w:spacing w:after="0" w:line="240" w:lineRule="auto"/>
        <w:ind w:firstLine="284"/>
        <w:jc w:val="right"/>
        <w:rPr>
          <w:sz w:val="20"/>
          <w:szCs w:val="20"/>
          <w:lang w:val="uk-UA"/>
        </w:rPr>
      </w:pPr>
      <w:r w:rsidRPr="00A40D81">
        <w:rPr>
          <w:sz w:val="20"/>
          <w:szCs w:val="20"/>
          <w:lang w:val="uk-UA"/>
        </w:rPr>
        <w:t>Навчально-наукового інституту Міжнародних відносин</w:t>
      </w:r>
    </w:p>
    <w:p w:rsidR="00A40D81" w:rsidRPr="00A40D81" w:rsidRDefault="00A40D81" w:rsidP="00A40D81">
      <w:pPr>
        <w:pStyle w:val="2"/>
        <w:spacing w:before="0" w:line="240" w:lineRule="auto"/>
        <w:ind w:firstLine="709"/>
        <w:jc w:val="right"/>
        <w:rPr>
          <w:rFonts w:ascii="Times New Roman" w:eastAsiaTheme="minorHAnsi" w:hAnsi="Times New Roman" w:cs="Times New Roman"/>
          <w:b w:val="0"/>
          <w:bCs w:val="0"/>
          <w:color w:val="000000"/>
          <w:sz w:val="20"/>
          <w:szCs w:val="20"/>
          <w:lang w:val="uk-UA"/>
        </w:rPr>
      </w:pPr>
      <w:r w:rsidRPr="00A40D81">
        <w:rPr>
          <w:rFonts w:ascii="Times New Roman" w:eastAsiaTheme="minorHAnsi" w:hAnsi="Times New Roman" w:cs="Times New Roman"/>
          <w:b w:val="0"/>
          <w:bCs w:val="0"/>
          <w:color w:val="000000"/>
          <w:sz w:val="20"/>
          <w:szCs w:val="20"/>
          <w:lang w:val="uk-UA"/>
        </w:rPr>
        <w:t>Національного авіаційного університету</w:t>
      </w:r>
    </w:p>
    <w:p w:rsidR="007A6AA7" w:rsidRDefault="007A6AA7" w:rsidP="00B80912">
      <w:pPr>
        <w:pStyle w:val="2"/>
        <w:spacing w:before="0" w:line="240" w:lineRule="auto"/>
        <w:ind w:firstLine="709"/>
        <w:jc w:val="center"/>
        <w:rPr>
          <w:rFonts w:ascii="Times New Roman" w:hAnsi="Times New Roman" w:cs="Times New Roman"/>
          <w:color w:val="auto"/>
          <w:sz w:val="20"/>
          <w:szCs w:val="20"/>
          <w:lang w:val="uk-UA"/>
        </w:rPr>
      </w:pPr>
    </w:p>
    <w:p w:rsidR="00032116" w:rsidRPr="00717747" w:rsidRDefault="00A40D81" w:rsidP="00B80912">
      <w:pPr>
        <w:pStyle w:val="2"/>
        <w:spacing w:before="0" w:line="240" w:lineRule="auto"/>
        <w:ind w:firstLine="709"/>
        <w:jc w:val="center"/>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СВІТОВІ ТА ВІТЧИЗНЯНІ ТЕНДЕНЦІЇ</w:t>
      </w:r>
      <w:r w:rsidRPr="00717747">
        <w:rPr>
          <w:rFonts w:ascii="Times New Roman" w:hAnsi="Times New Roman" w:cs="Times New Roman"/>
          <w:color w:val="auto"/>
          <w:sz w:val="20"/>
          <w:szCs w:val="20"/>
          <w:lang w:val="uk-UA"/>
        </w:rPr>
        <w:t xml:space="preserve"> </w:t>
      </w:r>
      <w:r>
        <w:rPr>
          <w:rFonts w:ascii="Times New Roman" w:hAnsi="Times New Roman" w:cs="Times New Roman"/>
          <w:color w:val="auto"/>
          <w:sz w:val="20"/>
          <w:szCs w:val="20"/>
          <w:lang w:val="uk-UA"/>
        </w:rPr>
        <w:t xml:space="preserve">ПРОЦЕСІВ </w:t>
      </w:r>
      <w:r w:rsidRPr="00717747">
        <w:rPr>
          <w:rFonts w:ascii="Times New Roman" w:hAnsi="Times New Roman" w:cs="Times New Roman"/>
          <w:color w:val="auto"/>
          <w:sz w:val="20"/>
          <w:szCs w:val="20"/>
          <w:lang w:val="uk-UA"/>
        </w:rPr>
        <w:t xml:space="preserve">КОНСОЛІДАЦІЇ </w:t>
      </w:r>
      <w:r>
        <w:rPr>
          <w:rFonts w:ascii="Times New Roman" w:hAnsi="Times New Roman" w:cs="Times New Roman"/>
          <w:color w:val="auto"/>
          <w:sz w:val="20"/>
          <w:szCs w:val="20"/>
          <w:lang w:val="uk-UA"/>
        </w:rPr>
        <w:t xml:space="preserve">В </w:t>
      </w:r>
      <w:r w:rsidRPr="00717747">
        <w:rPr>
          <w:rFonts w:ascii="Times New Roman" w:hAnsi="Times New Roman" w:cs="Times New Roman"/>
          <w:color w:val="auto"/>
          <w:sz w:val="20"/>
          <w:szCs w:val="20"/>
          <w:lang w:val="uk-UA"/>
        </w:rPr>
        <w:t>БАНКІВСЬК</w:t>
      </w:r>
      <w:r>
        <w:rPr>
          <w:rFonts w:ascii="Times New Roman" w:hAnsi="Times New Roman" w:cs="Times New Roman"/>
          <w:color w:val="auto"/>
          <w:sz w:val="20"/>
          <w:szCs w:val="20"/>
          <w:lang w:val="uk-UA"/>
        </w:rPr>
        <w:t>ІЙ С</w:t>
      </w:r>
      <w:bookmarkEnd w:id="0"/>
      <w:r w:rsidR="00EE4CF7">
        <w:rPr>
          <w:rFonts w:ascii="Times New Roman" w:hAnsi="Times New Roman" w:cs="Times New Roman"/>
          <w:color w:val="auto"/>
          <w:sz w:val="20"/>
          <w:szCs w:val="20"/>
          <w:lang w:val="uk-UA"/>
        </w:rPr>
        <w:t>ФЕРІ</w:t>
      </w:r>
    </w:p>
    <w:p w:rsidR="00032116" w:rsidRPr="00717747" w:rsidRDefault="00032116" w:rsidP="00B80912">
      <w:pPr>
        <w:spacing w:after="0" w:line="240" w:lineRule="auto"/>
        <w:ind w:firstLine="709"/>
        <w:jc w:val="both"/>
        <w:rPr>
          <w:sz w:val="20"/>
          <w:szCs w:val="20"/>
          <w:lang w:val="uk-UA"/>
        </w:rPr>
      </w:pPr>
    </w:p>
    <w:p w:rsidR="006900C6" w:rsidRPr="00B65902" w:rsidRDefault="006900C6" w:rsidP="006900C6">
      <w:pPr>
        <w:spacing w:after="0" w:line="240" w:lineRule="auto"/>
        <w:ind w:firstLine="709"/>
        <w:jc w:val="both"/>
        <w:rPr>
          <w:i/>
          <w:sz w:val="20"/>
          <w:szCs w:val="20"/>
        </w:rPr>
      </w:pPr>
      <w:r w:rsidRPr="001A3403">
        <w:rPr>
          <w:b/>
          <w:i/>
          <w:sz w:val="20"/>
          <w:szCs w:val="20"/>
          <w:lang w:val="uk-UA"/>
        </w:rPr>
        <w:t>Анотація.</w:t>
      </w:r>
      <w:r w:rsidRPr="001A3403">
        <w:rPr>
          <w:i/>
          <w:sz w:val="20"/>
          <w:szCs w:val="20"/>
          <w:lang w:val="uk-UA"/>
        </w:rPr>
        <w:t xml:space="preserve"> За останні двадцять років процес</w:t>
      </w:r>
      <w:r w:rsidR="00D338D9" w:rsidRPr="001A3403">
        <w:rPr>
          <w:i/>
          <w:sz w:val="20"/>
          <w:szCs w:val="20"/>
          <w:lang w:val="uk-UA"/>
        </w:rPr>
        <w:t>и</w:t>
      </w:r>
      <w:r w:rsidRPr="001A3403">
        <w:rPr>
          <w:i/>
          <w:sz w:val="20"/>
          <w:szCs w:val="20"/>
          <w:lang w:val="uk-UA"/>
        </w:rPr>
        <w:t xml:space="preserve"> консолідації в світовій </w:t>
      </w:r>
      <w:r w:rsidR="00D338D9" w:rsidRPr="001A3403">
        <w:rPr>
          <w:i/>
          <w:sz w:val="20"/>
          <w:szCs w:val="20"/>
          <w:lang w:val="uk-UA"/>
        </w:rPr>
        <w:t>банківській сфері значно посилили</w:t>
      </w:r>
      <w:r w:rsidRPr="001A3403">
        <w:rPr>
          <w:i/>
          <w:sz w:val="20"/>
          <w:szCs w:val="20"/>
          <w:lang w:val="uk-UA"/>
        </w:rPr>
        <w:t xml:space="preserve">ся, аналогічні тенденції простежуються і на </w:t>
      </w:r>
      <w:r w:rsidR="00A40D81" w:rsidRPr="001A3403">
        <w:rPr>
          <w:i/>
          <w:sz w:val="20"/>
          <w:szCs w:val="20"/>
          <w:lang w:val="uk-UA"/>
        </w:rPr>
        <w:t>українському</w:t>
      </w:r>
      <w:r w:rsidRPr="001A3403">
        <w:rPr>
          <w:i/>
          <w:sz w:val="20"/>
          <w:szCs w:val="20"/>
          <w:lang w:val="uk-UA"/>
        </w:rPr>
        <w:t xml:space="preserve"> банківському ринку. Причиною того, що відбувається є не тільки природна внутрішньогалузева схильність банків до ук</w:t>
      </w:r>
      <w:r w:rsidR="001A3403" w:rsidRPr="001A3403">
        <w:rPr>
          <w:i/>
          <w:sz w:val="20"/>
          <w:szCs w:val="20"/>
          <w:lang w:val="uk-UA"/>
        </w:rPr>
        <w:t>рупнення, а й зовнішні чинники</w:t>
      </w:r>
      <w:r w:rsidRPr="001A3403">
        <w:rPr>
          <w:i/>
          <w:sz w:val="20"/>
          <w:szCs w:val="20"/>
          <w:lang w:val="uk-UA"/>
        </w:rPr>
        <w:t>. У зв'язку з цим угоди по злиттю і поглинанню набули останнім часом великої актуальності. У даній роботі проаналізовані різні типи</w:t>
      </w:r>
      <w:r w:rsidR="005B43D8" w:rsidRPr="001A3403">
        <w:rPr>
          <w:i/>
          <w:sz w:val="20"/>
          <w:szCs w:val="20"/>
          <w:lang w:val="uk-UA"/>
        </w:rPr>
        <w:t xml:space="preserve"> </w:t>
      </w:r>
      <w:r w:rsidRPr="001A3403">
        <w:rPr>
          <w:i/>
          <w:sz w:val="20"/>
          <w:szCs w:val="20"/>
          <w:lang w:val="uk-UA"/>
        </w:rPr>
        <w:t xml:space="preserve">угод по злиттю і поглинанню в різних країнах. Зроблено висновок про те, що досвід </w:t>
      </w:r>
      <w:r w:rsidR="001A3403" w:rsidRPr="001A3403">
        <w:rPr>
          <w:i/>
          <w:sz w:val="20"/>
          <w:szCs w:val="20"/>
          <w:lang w:val="uk-UA"/>
        </w:rPr>
        <w:t xml:space="preserve">деяких країн </w:t>
      </w:r>
      <w:r w:rsidRPr="001A3403">
        <w:rPr>
          <w:i/>
          <w:sz w:val="20"/>
          <w:szCs w:val="20"/>
          <w:lang w:val="uk-UA"/>
        </w:rPr>
        <w:t>по організації угод по злиттю і поглинанню міг</w:t>
      </w:r>
      <w:r w:rsidR="005B43D8" w:rsidRPr="001A3403">
        <w:rPr>
          <w:i/>
          <w:sz w:val="20"/>
          <w:szCs w:val="20"/>
          <w:lang w:val="uk-UA"/>
        </w:rPr>
        <w:t xml:space="preserve"> </w:t>
      </w:r>
      <w:r w:rsidRPr="001A3403">
        <w:rPr>
          <w:i/>
          <w:sz w:val="20"/>
          <w:szCs w:val="20"/>
          <w:lang w:val="uk-UA"/>
        </w:rPr>
        <w:t xml:space="preserve">б бути впроваджений в </w:t>
      </w:r>
      <w:r w:rsidR="005B43D8" w:rsidRPr="001A3403">
        <w:rPr>
          <w:i/>
          <w:sz w:val="20"/>
          <w:szCs w:val="20"/>
          <w:lang w:val="uk-UA"/>
        </w:rPr>
        <w:t>українську</w:t>
      </w:r>
      <w:r w:rsidRPr="001A3403">
        <w:rPr>
          <w:i/>
          <w:sz w:val="20"/>
          <w:szCs w:val="20"/>
          <w:lang w:val="uk-UA"/>
        </w:rPr>
        <w:t xml:space="preserve"> банківську систему, так як є якісним механізмом перетворення банків, нездатних функціонувати самостійно.</w:t>
      </w:r>
    </w:p>
    <w:p w:rsidR="00A40D81" w:rsidRDefault="001A3403" w:rsidP="00A40D81">
      <w:pPr>
        <w:pStyle w:val="Default"/>
        <w:ind w:firstLine="709"/>
        <w:jc w:val="both"/>
        <w:rPr>
          <w:sz w:val="20"/>
          <w:szCs w:val="20"/>
        </w:rPr>
      </w:pPr>
      <w:proofErr w:type="spellStart"/>
      <w:r>
        <w:rPr>
          <w:b/>
          <w:sz w:val="20"/>
          <w:szCs w:val="20"/>
          <w:lang w:val="ru-RU"/>
        </w:rPr>
        <w:t>Ключов</w:t>
      </w:r>
      <w:proofErr w:type="spellEnd"/>
      <w:r>
        <w:rPr>
          <w:b/>
          <w:sz w:val="20"/>
          <w:szCs w:val="20"/>
        </w:rPr>
        <w:t xml:space="preserve">і слова: </w:t>
      </w:r>
      <w:r w:rsidRPr="001A3403">
        <w:rPr>
          <w:sz w:val="20"/>
          <w:szCs w:val="20"/>
        </w:rPr>
        <w:t>консолідація, злиття і поглинання, іноземний банківський капітал.</w:t>
      </w:r>
    </w:p>
    <w:p w:rsidR="001A3403" w:rsidRDefault="001A3403" w:rsidP="00A40D81">
      <w:pPr>
        <w:pStyle w:val="Default"/>
        <w:ind w:firstLine="709"/>
        <w:jc w:val="both"/>
        <w:rPr>
          <w:sz w:val="20"/>
          <w:szCs w:val="20"/>
        </w:rPr>
      </w:pPr>
    </w:p>
    <w:p w:rsidR="007A6AA7" w:rsidRDefault="007A6AA7" w:rsidP="001101CB">
      <w:pPr>
        <w:pStyle w:val="Default"/>
        <w:rPr>
          <w:sz w:val="20"/>
          <w:szCs w:val="20"/>
          <w:lang w:val="ru-RU"/>
        </w:rPr>
      </w:pPr>
      <w:r w:rsidRPr="001101CB">
        <w:rPr>
          <w:b/>
          <w:sz w:val="20"/>
          <w:szCs w:val="20"/>
        </w:rPr>
        <w:t>Н</w:t>
      </w:r>
      <w:r w:rsidR="001101CB" w:rsidRPr="001101CB">
        <w:rPr>
          <w:b/>
          <w:sz w:val="20"/>
          <w:szCs w:val="20"/>
        </w:rPr>
        <w:t>абок</w:t>
      </w:r>
      <w:r w:rsidRPr="001101CB">
        <w:rPr>
          <w:b/>
          <w:sz w:val="20"/>
          <w:szCs w:val="20"/>
        </w:rPr>
        <w:t xml:space="preserve"> И.И.</w:t>
      </w:r>
      <w:r w:rsidR="001101CB">
        <w:rPr>
          <w:sz w:val="20"/>
          <w:szCs w:val="20"/>
          <w:lang w:val="ru-RU"/>
        </w:rPr>
        <w:t>,</w:t>
      </w:r>
      <w:r>
        <w:rPr>
          <w:sz w:val="20"/>
          <w:szCs w:val="20"/>
        </w:rPr>
        <w:t xml:space="preserve"> канд. </w:t>
      </w:r>
      <w:r>
        <w:rPr>
          <w:sz w:val="20"/>
          <w:szCs w:val="20"/>
          <w:lang w:val="ru-RU"/>
        </w:rPr>
        <w:t>э</w:t>
      </w:r>
      <w:proofErr w:type="spellStart"/>
      <w:r w:rsidRPr="007A6AA7">
        <w:rPr>
          <w:sz w:val="20"/>
          <w:szCs w:val="20"/>
        </w:rPr>
        <w:t>кон</w:t>
      </w:r>
      <w:proofErr w:type="spellEnd"/>
      <w:r w:rsidRPr="007A6AA7">
        <w:rPr>
          <w:sz w:val="20"/>
          <w:szCs w:val="20"/>
        </w:rPr>
        <w:t>. наук, доцент</w:t>
      </w:r>
      <w:r>
        <w:rPr>
          <w:sz w:val="20"/>
          <w:szCs w:val="20"/>
          <w:lang w:val="ru-RU"/>
        </w:rPr>
        <w:t xml:space="preserve">, </w:t>
      </w:r>
      <w:r w:rsidRPr="007A6AA7">
        <w:rPr>
          <w:sz w:val="20"/>
          <w:szCs w:val="20"/>
        </w:rPr>
        <w:t xml:space="preserve">доцент </w:t>
      </w:r>
      <w:proofErr w:type="spellStart"/>
      <w:r w:rsidRPr="007A6AA7">
        <w:rPr>
          <w:sz w:val="20"/>
          <w:szCs w:val="20"/>
        </w:rPr>
        <w:t>кафедры</w:t>
      </w:r>
      <w:proofErr w:type="spellEnd"/>
      <w:r w:rsidRPr="007A6AA7">
        <w:rPr>
          <w:sz w:val="20"/>
          <w:szCs w:val="20"/>
        </w:rPr>
        <w:t xml:space="preserve"> </w:t>
      </w:r>
      <w:proofErr w:type="spellStart"/>
      <w:r w:rsidRPr="007A6AA7">
        <w:rPr>
          <w:sz w:val="20"/>
          <w:szCs w:val="20"/>
        </w:rPr>
        <w:t>международных</w:t>
      </w:r>
      <w:proofErr w:type="spellEnd"/>
      <w:r w:rsidRPr="007A6AA7">
        <w:rPr>
          <w:sz w:val="20"/>
          <w:szCs w:val="20"/>
        </w:rPr>
        <w:t xml:space="preserve"> </w:t>
      </w:r>
      <w:proofErr w:type="spellStart"/>
      <w:r w:rsidRPr="007A6AA7">
        <w:rPr>
          <w:sz w:val="20"/>
          <w:szCs w:val="20"/>
        </w:rPr>
        <w:t>экономических</w:t>
      </w:r>
      <w:proofErr w:type="spellEnd"/>
      <w:r w:rsidRPr="007A6AA7">
        <w:rPr>
          <w:sz w:val="20"/>
          <w:szCs w:val="20"/>
        </w:rPr>
        <w:t xml:space="preserve"> </w:t>
      </w:r>
      <w:r w:rsidR="001101CB">
        <w:rPr>
          <w:sz w:val="20"/>
          <w:szCs w:val="20"/>
          <w:lang w:val="ru-RU"/>
        </w:rPr>
        <w:t xml:space="preserve">отношений </w:t>
      </w:r>
      <w:r w:rsidRPr="007A6AA7">
        <w:rPr>
          <w:sz w:val="20"/>
          <w:szCs w:val="20"/>
        </w:rPr>
        <w:t xml:space="preserve">и </w:t>
      </w:r>
      <w:proofErr w:type="spellStart"/>
      <w:r w:rsidRPr="007A6AA7">
        <w:rPr>
          <w:sz w:val="20"/>
          <w:szCs w:val="20"/>
        </w:rPr>
        <w:t>бизнеса</w:t>
      </w:r>
      <w:proofErr w:type="spellEnd"/>
      <w:r w:rsidR="001101CB">
        <w:rPr>
          <w:sz w:val="20"/>
          <w:szCs w:val="20"/>
          <w:lang w:val="ru-RU"/>
        </w:rPr>
        <w:t xml:space="preserve"> Учебно</w:t>
      </w:r>
      <w:proofErr w:type="spellStart"/>
      <w:r w:rsidRPr="007A6AA7">
        <w:rPr>
          <w:sz w:val="20"/>
          <w:szCs w:val="20"/>
        </w:rPr>
        <w:t>-научн</w:t>
      </w:r>
      <w:r w:rsidR="001101CB">
        <w:rPr>
          <w:sz w:val="20"/>
          <w:szCs w:val="20"/>
          <w:lang w:val="ru-RU"/>
        </w:rPr>
        <w:t>ый</w:t>
      </w:r>
      <w:proofErr w:type="spellEnd"/>
      <w:r w:rsidR="001101CB">
        <w:rPr>
          <w:sz w:val="20"/>
          <w:szCs w:val="20"/>
          <w:lang w:val="ru-RU"/>
        </w:rPr>
        <w:t xml:space="preserve"> </w:t>
      </w:r>
      <w:proofErr w:type="spellStart"/>
      <w:r w:rsidRPr="007A6AA7">
        <w:rPr>
          <w:sz w:val="20"/>
          <w:szCs w:val="20"/>
        </w:rPr>
        <w:t>институт</w:t>
      </w:r>
      <w:proofErr w:type="spellEnd"/>
      <w:r w:rsidRPr="007A6AA7">
        <w:rPr>
          <w:sz w:val="20"/>
          <w:szCs w:val="20"/>
        </w:rPr>
        <w:t xml:space="preserve"> </w:t>
      </w:r>
      <w:proofErr w:type="spellStart"/>
      <w:r w:rsidR="001101CB">
        <w:rPr>
          <w:sz w:val="20"/>
          <w:szCs w:val="20"/>
          <w:lang w:val="ru-RU"/>
        </w:rPr>
        <w:t>Медународных</w:t>
      </w:r>
      <w:proofErr w:type="spellEnd"/>
      <w:r w:rsidR="001101CB">
        <w:rPr>
          <w:sz w:val="20"/>
          <w:szCs w:val="20"/>
          <w:lang w:val="ru-RU"/>
        </w:rPr>
        <w:t xml:space="preserve"> отношений </w:t>
      </w:r>
      <w:proofErr w:type="spellStart"/>
      <w:r w:rsidR="001101CB">
        <w:rPr>
          <w:sz w:val="20"/>
          <w:szCs w:val="20"/>
        </w:rPr>
        <w:t>Нац</w:t>
      </w:r>
      <w:proofErr w:type="spellEnd"/>
      <w:r w:rsidR="001101CB">
        <w:rPr>
          <w:sz w:val="20"/>
          <w:szCs w:val="20"/>
          <w:lang w:val="ru-RU"/>
        </w:rPr>
        <w:t>и</w:t>
      </w:r>
      <w:proofErr w:type="spellStart"/>
      <w:r w:rsidR="001101CB">
        <w:rPr>
          <w:sz w:val="20"/>
          <w:szCs w:val="20"/>
        </w:rPr>
        <w:t>онального</w:t>
      </w:r>
      <w:proofErr w:type="spellEnd"/>
      <w:r w:rsidR="001101CB">
        <w:rPr>
          <w:sz w:val="20"/>
          <w:szCs w:val="20"/>
        </w:rPr>
        <w:t xml:space="preserve"> а</w:t>
      </w:r>
      <w:proofErr w:type="spellStart"/>
      <w:r w:rsidR="001101CB">
        <w:rPr>
          <w:sz w:val="20"/>
          <w:szCs w:val="20"/>
          <w:lang w:val="ru-RU"/>
        </w:rPr>
        <w:t>ви</w:t>
      </w:r>
      <w:r w:rsidR="001101CB">
        <w:rPr>
          <w:sz w:val="20"/>
          <w:szCs w:val="20"/>
        </w:rPr>
        <w:t>ац</w:t>
      </w:r>
      <w:proofErr w:type="spellEnd"/>
      <w:r w:rsidR="001101CB">
        <w:rPr>
          <w:sz w:val="20"/>
          <w:szCs w:val="20"/>
          <w:lang w:val="ru-RU"/>
        </w:rPr>
        <w:t>и</w:t>
      </w:r>
      <w:proofErr w:type="spellStart"/>
      <w:r w:rsidRPr="007A6AA7">
        <w:rPr>
          <w:sz w:val="20"/>
          <w:szCs w:val="20"/>
        </w:rPr>
        <w:t>ного</w:t>
      </w:r>
      <w:proofErr w:type="spellEnd"/>
      <w:r w:rsidRPr="007A6AA7">
        <w:rPr>
          <w:sz w:val="20"/>
          <w:szCs w:val="20"/>
        </w:rPr>
        <w:t xml:space="preserve"> </w:t>
      </w:r>
      <w:proofErr w:type="spellStart"/>
      <w:r w:rsidRPr="007A6AA7">
        <w:rPr>
          <w:sz w:val="20"/>
          <w:szCs w:val="20"/>
        </w:rPr>
        <w:t>ун</w:t>
      </w:r>
      <w:proofErr w:type="spellEnd"/>
      <w:r w:rsidR="001101CB">
        <w:rPr>
          <w:sz w:val="20"/>
          <w:szCs w:val="20"/>
          <w:lang w:val="ru-RU"/>
        </w:rPr>
        <w:t>и</w:t>
      </w:r>
      <w:proofErr w:type="spellStart"/>
      <w:r w:rsidRPr="007A6AA7">
        <w:rPr>
          <w:sz w:val="20"/>
          <w:szCs w:val="20"/>
        </w:rPr>
        <w:t>верситет</w:t>
      </w:r>
      <w:proofErr w:type="spellEnd"/>
      <w:r w:rsidR="001101CB">
        <w:rPr>
          <w:sz w:val="20"/>
          <w:szCs w:val="20"/>
          <w:lang w:val="ru-RU"/>
        </w:rPr>
        <w:t>а</w:t>
      </w:r>
    </w:p>
    <w:p w:rsidR="001101CB" w:rsidRPr="001101CB" w:rsidRDefault="001101CB" w:rsidP="007A6AA7">
      <w:pPr>
        <w:pStyle w:val="Default"/>
        <w:ind w:firstLine="709"/>
        <w:jc w:val="center"/>
        <w:rPr>
          <w:b/>
          <w:sz w:val="20"/>
          <w:szCs w:val="20"/>
          <w:lang w:val="ru-RU"/>
        </w:rPr>
      </w:pPr>
    </w:p>
    <w:p w:rsidR="001A3403" w:rsidRPr="001A3403" w:rsidRDefault="001A3403" w:rsidP="001A3403">
      <w:pPr>
        <w:pStyle w:val="Default"/>
        <w:ind w:firstLine="709"/>
        <w:jc w:val="center"/>
        <w:rPr>
          <w:b/>
          <w:sz w:val="20"/>
          <w:szCs w:val="20"/>
        </w:rPr>
      </w:pPr>
      <w:r w:rsidRPr="001A3403">
        <w:rPr>
          <w:b/>
          <w:sz w:val="20"/>
          <w:szCs w:val="20"/>
        </w:rPr>
        <w:t>МИРОВЫЕ И ОТЕЧЕСТВЕННЫЕ ТЕНДЕНЦИИ ПРОЦЕСС</w:t>
      </w:r>
      <w:r>
        <w:rPr>
          <w:b/>
          <w:sz w:val="20"/>
          <w:szCs w:val="20"/>
        </w:rPr>
        <w:t>ОВ</w:t>
      </w:r>
      <w:r w:rsidRPr="001A3403">
        <w:rPr>
          <w:b/>
          <w:sz w:val="20"/>
          <w:szCs w:val="20"/>
        </w:rPr>
        <w:t xml:space="preserve"> КОНСОЛИДАЦИИ В БАНКОВСКОЙ СФЕРЕ</w:t>
      </w:r>
    </w:p>
    <w:p w:rsidR="001A3403" w:rsidRPr="001A3403" w:rsidRDefault="001A3403" w:rsidP="001A3403">
      <w:pPr>
        <w:pStyle w:val="Default"/>
        <w:ind w:firstLine="709"/>
        <w:jc w:val="both"/>
        <w:rPr>
          <w:b/>
          <w:sz w:val="20"/>
          <w:szCs w:val="20"/>
        </w:rPr>
      </w:pPr>
    </w:p>
    <w:p w:rsidR="001A3403" w:rsidRDefault="001A3403" w:rsidP="001A3403">
      <w:pPr>
        <w:pStyle w:val="Default"/>
        <w:ind w:firstLine="709"/>
        <w:jc w:val="both"/>
        <w:rPr>
          <w:i/>
          <w:sz w:val="20"/>
          <w:szCs w:val="20"/>
          <w:lang w:val="ru-RU"/>
        </w:rPr>
      </w:pPr>
      <w:r w:rsidRPr="001A3403">
        <w:rPr>
          <w:b/>
          <w:i/>
          <w:sz w:val="20"/>
          <w:szCs w:val="20"/>
          <w:lang w:val="ru-RU"/>
        </w:rPr>
        <w:t>Аннотация.</w:t>
      </w:r>
      <w:r w:rsidRPr="001A3403">
        <w:rPr>
          <w:i/>
          <w:sz w:val="20"/>
          <w:szCs w:val="20"/>
          <w:lang w:val="ru-RU"/>
        </w:rPr>
        <w:t xml:space="preserve"> За последние двадцать лет процессы консолидации в мировой банковской сфере значительно усилились, аналогичные тенденции прослеживаются и на украинском банковском рынке. Причиной того, что </w:t>
      </w:r>
      <w:proofErr w:type="gramStart"/>
      <w:r w:rsidRPr="001A3403">
        <w:rPr>
          <w:i/>
          <w:sz w:val="20"/>
          <w:szCs w:val="20"/>
          <w:lang w:val="ru-RU"/>
        </w:rPr>
        <w:t>происходит</w:t>
      </w:r>
      <w:proofErr w:type="gramEnd"/>
      <w:r w:rsidRPr="001A3403">
        <w:rPr>
          <w:i/>
          <w:sz w:val="20"/>
          <w:szCs w:val="20"/>
          <w:lang w:val="ru-RU"/>
        </w:rPr>
        <w:t xml:space="preserve"> есть не только естественная внутриотраслевая склонность банков к укрупнению, но и внешние факторы. В связи с этим сделки по слиянию и поглощению приобрели в последнее время большую актуальность. В данной работе проанализированы различные типы сделок по слиянию и поглощению в разных странах. Сделан вывод о том, что опыт некоторых стран по организации сделок по слиянию и поглощению мог бы быть внедрен в украинскую банковскую систему, так как является качественным механизмом преобразования банков, способных функционировать самостоятельно.</w:t>
      </w:r>
    </w:p>
    <w:p w:rsidR="001A3403" w:rsidRDefault="001A3403" w:rsidP="001A3403">
      <w:pPr>
        <w:pStyle w:val="Default"/>
        <w:ind w:firstLine="709"/>
        <w:jc w:val="both"/>
        <w:rPr>
          <w:b/>
          <w:sz w:val="20"/>
          <w:szCs w:val="20"/>
        </w:rPr>
      </w:pPr>
      <w:proofErr w:type="spellStart"/>
      <w:r w:rsidRPr="001A3403">
        <w:rPr>
          <w:b/>
          <w:sz w:val="20"/>
          <w:szCs w:val="20"/>
        </w:rPr>
        <w:t>Ключевые</w:t>
      </w:r>
      <w:proofErr w:type="spellEnd"/>
      <w:r w:rsidRPr="001A3403">
        <w:rPr>
          <w:b/>
          <w:sz w:val="20"/>
          <w:szCs w:val="20"/>
        </w:rPr>
        <w:t xml:space="preserve"> слова: </w:t>
      </w:r>
      <w:proofErr w:type="spellStart"/>
      <w:r w:rsidRPr="001A3403">
        <w:rPr>
          <w:sz w:val="20"/>
          <w:szCs w:val="20"/>
        </w:rPr>
        <w:t>консолидация</w:t>
      </w:r>
      <w:proofErr w:type="spellEnd"/>
      <w:r w:rsidRPr="001A3403">
        <w:rPr>
          <w:sz w:val="20"/>
          <w:szCs w:val="20"/>
        </w:rPr>
        <w:t xml:space="preserve">, </w:t>
      </w:r>
      <w:proofErr w:type="spellStart"/>
      <w:r w:rsidRPr="001A3403">
        <w:rPr>
          <w:sz w:val="20"/>
          <w:szCs w:val="20"/>
        </w:rPr>
        <w:t>слияния</w:t>
      </w:r>
      <w:proofErr w:type="spellEnd"/>
      <w:r w:rsidRPr="001A3403">
        <w:rPr>
          <w:sz w:val="20"/>
          <w:szCs w:val="20"/>
        </w:rPr>
        <w:t xml:space="preserve"> и </w:t>
      </w:r>
      <w:proofErr w:type="spellStart"/>
      <w:r w:rsidRPr="001A3403">
        <w:rPr>
          <w:sz w:val="20"/>
          <w:szCs w:val="20"/>
        </w:rPr>
        <w:t>поглощения</w:t>
      </w:r>
      <w:proofErr w:type="spellEnd"/>
      <w:r w:rsidRPr="001A3403">
        <w:rPr>
          <w:sz w:val="20"/>
          <w:szCs w:val="20"/>
        </w:rPr>
        <w:t xml:space="preserve">, </w:t>
      </w:r>
      <w:proofErr w:type="spellStart"/>
      <w:r w:rsidRPr="001A3403">
        <w:rPr>
          <w:sz w:val="20"/>
          <w:szCs w:val="20"/>
        </w:rPr>
        <w:t>иностранный</w:t>
      </w:r>
      <w:proofErr w:type="spellEnd"/>
      <w:r w:rsidRPr="001A3403">
        <w:rPr>
          <w:sz w:val="20"/>
          <w:szCs w:val="20"/>
        </w:rPr>
        <w:t xml:space="preserve"> </w:t>
      </w:r>
      <w:proofErr w:type="spellStart"/>
      <w:r w:rsidRPr="001A3403">
        <w:rPr>
          <w:sz w:val="20"/>
          <w:szCs w:val="20"/>
        </w:rPr>
        <w:t>банковский</w:t>
      </w:r>
      <w:proofErr w:type="spellEnd"/>
      <w:r w:rsidRPr="001A3403">
        <w:rPr>
          <w:sz w:val="20"/>
          <w:szCs w:val="20"/>
        </w:rPr>
        <w:t xml:space="preserve"> </w:t>
      </w:r>
      <w:proofErr w:type="spellStart"/>
      <w:r w:rsidRPr="001A3403">
        <w:rPr>
          <w:sz w:val="20"/>
          <w:szCs w:val="20"/>
        </w:rPr>
        <w:t>капитал</w:t>
      </w:r>
      <w:proofErr w:type="spellEnd"/>
    </w:p>
    <w:p w:rsidR="001A3403" w:rsidRPr="001A3403" w:rsidRDefault="001A3403" w:rsidP="00A40D81">
      <w:pPr>
        <w:pStyle w:val="Default"/>
        <w:ind w:firstLine="709"/>
        <w:jc w:val="both"/>
        <w:rPr>
          <w:b/>
          <w:sz w:val="20"/>
          <w:szCs w:val="20"/>
        </w:rPr>
      </w:pPr>
      <w:bookmarkStart w:id="1" w:name="_GoBack"/>
      <w:bookmarkEnd w:id="1"/>
    </w:p>
    <w:p w:rsidR="001101CB" w:rsidRDefault="001101CB" w:rsidP="001101CB">
      <w:pPr>
        <w:pStyle w:val="Default"/>
        <w:jc w:val="both"/>
        <w:rPr>
          <w:sz w:val="20"/>
          <w:szCs w:val="20"/>
        </w:rPr>
      </w:pPr>
      <w:proofErr w:type="spellStart"/>
      <w:r w:rsidRPr="004B64DA">
        <w:rPr>
          <w:b/>
          <w:sz w:val="20"/>
          <w:szCs w:val="20"/>
        </w:rPr>
        <w:t>Nabok</w:t>
      </w:r>
      <w:proofErr w:type="spellEnd"/>
      <w:r w:rsidRPr="004B64DA">
        <w:rPr>
          <w:b/>
          <w:sz w:val="20"/>
          <w:szCs w:val="20"/>
        </w:rPr>
        <w:t xml:space="preserve"> I</w:t>
      </w:r>
      <w:r w:rsidRPr="009068F0">
        <w:rPr>
          <w:b/>
          <w:sz w:val="20"/>
          <w:szCs w:val="20"/>
          <w:lang w:val="en-US"/>
        </w:rPr>
        <w:t>.</w:t>
      </w:r>
      <w:r w:rsidRPr="004B64DA">
        <w:rPr>
          <w:b/>
          <w:sz w:val="20"/>
          <w:szCs w:val="20"/>
        </w:rPr>
        <w:t>I</w:t>
      </w:r>
      <w:r w:rsidRPr="009068F0">
        <w:rPr>
          <w:b/>
          <w:sz w:val="20"/>
          <w:szCs w:val="20"/>
          <w:lang w:val="en-US"/>
        </w:rPr>
        <w:t>.</w:t>
      </w:r>
      <w:r w:rsidRPr="001101CB">
        <w:rPr>
          <w:b/>
          <w:sz w:val="20"/>
          <w:szCs w:val="20"/>
          <w:lang w:val="en-US"/>
        </w:rPr>
        <w:t>,</w:t>
      </w:r>
      <w:r w:rsidRPr="00A40D81">
        <w:t xml:space="preserve"> </w:t>
      </w:r>
      <w:r w:rsidRPr="00A40D81">
        <w:rPr>
          <w:sz w:val="20"/>
          <w:szCs w:val="20"/>
          <w:lang w:val="en-US"/>
        </w:rPr>
        <w:t>Ph.D. (Candidate of Sciences) in Economics</w:t>
      </w:r>
      <w:r w:rsidRPr="00A40D81">
        <w:rPr>
          <w:sz w:val="20"/>
          <w:szCs w:val="20"/>
        </w:rPr>
        <w:t>,</w:t>
      </w:r>
      <w:r w:rsidRPr="00513360">
        <w:rPr>
          <w:sz w:val="20"/>
          <w:szCs w:val="20"/>
        </w:rPr>
        <w:t xml:space="preserve"> </w:t>
      </w:r>
      <w:r w:rsidRPr="00513360">
        <w:rPr>
          <w:sz w:val="20"/>
          <w:szCs w:val="20"/>
          <w:lang w:val="en-US"/>
        </w:rPr>
        <w:t>a</w:t>
      </w:r>
      <w:proofErr w:type="spellStart"/>
      <w:r w:rsidRPr="00513360">
        <w:rPr>
          <w:sz w:val="20"/>
          <w:szCs w:val="20"/>
        </w:rPr>
        <w:t>ssociate</w:t>
      </w:r>
      <w:proofErr w:type="spellEnd"/>
      <w:r w:rsidRPr="00513360">
        <w:rPr>
          <w:sz w:val="20"/>
          <w:szCs w:val="20"/>
        </w:rPr>
        <w:t xml:space="preserve"> </w:t>
      </w:r>
      <w:r w:rsidRPr="00513360">
        <w:rPr>
          <w:sz w:val="20"/>
          <w:szCs w:val="20"/>
          <w:lang w:val="en-US"/>
        </w:rPr>
        <w:t>p</w:t>
      </w:r>
      <w:proofErr w:type="spellStart"/>
      <w:r w:rsidRPr="00513360">
        <w:rPr>
          <w:sz w:val="20"/>
          <w:szCs w:val="20"/>
        </w:rPr>
        <w:t>rofessor</w:t>
      </w:r>
      <w:proofErr w:type="spellEnd"/>
      <w:r w:rsidRPr="00513360">
        <w:rPr>
          <w:sz w:val="20"/>
          <w:szCs w:val="20"/>
        </w:rPr>
        <w:t xml:space="preserve"> </w:t>
      </w:r>
      <w:proofErr w:type="spellStart"/>
      <w:r w:rsidRPr="00513360">
        <w:rPr>
          <w:sz w:val="20"/>
          <w:szCs w:val="20"/>
        </w:rPr>
        <w:t>of</w:t>
      </w:r>
      <w:proofErr w:type="spellEnd"/>
      <w:r w:rsidRPr="00513360">
        <w:t xml:space="preserve"> </w:t>
      </w:r>
      <w:proofErr w:type="spellStart"/>
      <w:r w:rsidRPr="00513360">
        <w:rPr>
          <w:sz w:val="20"/>
          <w:szCs w:val="20"/>
        </w:rPr>
        <w:t>the</w:t>
      </w:r>
      <w:proofErr w:type="spellEnd"/>
      <w:r w:rsidRPr="00513360">
        <w:rPr>
          <w:sz w:val="20"/>
          <w:szCs w:val="20"/>
        </w:rPr>
        <w:t xml:space="preserve"> </w:t>
      </w:r>
      <w:proofErr w:type="spellStart"/>
      <w:r w:rsidRPr="00A40D81">
        <w:rPr>
          <w:sz w:val="20"/>
          <w:szCs w:val="20"/>
        </w:rPr>
        <w:t>Department</w:t>
      </w:r>
      <w:proofErr w:type="spellEnd"/>
      <w:r w:rsidRPr="00A40D81">
        <w:rPr>
          <w:sz w:val="20"/>
          <w:szCs w:val="20"/>
        </w:rPr>
        <w:t xml:space="preserve"> </w:t>
      </w:r>
      <w:proofErr w:type="spellStart"/>
      <w:r w:rsidRPr="00A40D81">
        <w:rPr>
          <w:sz w:val="20"/>
          <w:szCs w:val="20"/>
        </w:rPr>
        <w:t>of</w:t>
      </w:r>
      <w:proofErr w:type="spellEnd"/>
      <w:r w:rsidRPr="00A40D81">
        <w:rPr>
          <w:sz w:val="20"/>
          <w:szCs w:val="20"/>
        </w:rPr>
        <w:t xml:space="preserve"> </w:t>
      </w:r>
      <w:proofErr w:type="spellStart"/>
      <w:r w:rsidRPr="00A40D81">
        <w:rPr>
          <w:sz w:val="20"/>
          <w:szCs w:val="20"/>
        </w:rPr>
        <w:t>International</w:t>
      </w:r>
      <w:proofErr w:type="spellEnd"/>
      <w:r w:rsidRPr="00A40D81">
        <w:rPr>
          <w:sz w:val="20"/>
          <w:szCs w:val="20"/>
        </w:rPr>
        <w:t xml:space="preserve"> </w:t>
      </w:r>
      <w:proofErr w:type="spellStart"/>
      <w:r w:rsidRPr="00A40D81">
        <w:rPr>
          <w:sz w:val="20"/>
          <w:szCs w:val="20"/>
        </w:rPr>
        <w:t>Economic</w:t>
      </w:r>
      <w:proofErr w:type="spellEnd"/>
      <w:r w:rsidRPr="00A40D81">
        <w:rPr>
          <w:sz w:val="20"/>
          <w:szCs w:val="20"/>
        </w:rPr>
        <w:t xml:space="preserve"> </w:t>
      </w:r>
      <w:proofErr w:type="spellStart"/>
      <w:r w:rsidRPr="00A40D81">
        <w:rPr>
          <w:sz w:val="20"/>
          <w:szCs w:val="20"/>
        </w:rPr>
        <w:t>Relations</w:t>
      </w:r>
      <w:proofErr w:type="spellEnd"/>
      <w:r w:rsidRPr="00A40D81">
        <w:rPr>
          <w:sz w:val="20"/>
          <w:szCs w:val="20"/>
        </w:rPr>
        <w:t xml:space="preserve"> </w:t>
      </w:r>
      <w:proofErr w:type="spellStart"/>
      <w:r w:rsidRPr="00A40D81">
        <w:rPr>
          <w:sz w:val="20"/>
          <w:szCs w:val="20"/>
        </w:rPr>
        <w:t>and</w:t>
      </w:r>
      <w:proofErr w:type="spellEnd"/>
      <w:r w:rsidRPr="00A40D81">
        <w:rPr>
          <w:sz w:val="20"/>
          <w:szCs w:val="20"/>
        </w:rPr>
        <w:t xml:space="preserve"> </w:t>
      </w:r>
      <w:proofErr w:type="spellStart"/>
      <w:r w:rsidRPr="00A40D81">
        <w:rPr>
          <w:sz w:val="20"/>
          <w:szCs w:val="20"/>
        </w:rPr>
        <w:t>Business</w:t>
      </w:r>
      <w:proofErr w:type="spellEnd"/>
      <w:r w:rsidRPr="00A40D81">
        <w:rPr>
          <w:sz w:val="20"/>
          <w:szCs w:val="20"/>
        </w:rPr>
        <w:t xml:space="preserve"> </w:t>
      </w:r>
      <w:proofErr w:type="spellStart"/>
      <w:r w:rsidRPr="00A40D81">
        <w:rPr>
          <w:sz w:val="20"/>
          <w:szCs w:val="20"/>
        </w:rPr>
        <w:t>at</w:t>
      </w:r>
      <w:proofErr w:type="spellEnd"/>
      <w:r w:rsidRPr="00A40D81">
        <w:rPr>
          <w:sz w:val="20"/>
          <w:szCs w:val="20"/>
        </w:rPr>
        <w:t xml:space="preserve"> </w:t>
      </w:r>
      <w:proofErr w:type="spellStart"/>
      <w:r w:rsidRPr="00A40D81">
        <w:rPr>
          <w:sz w:val="20"/>
          <w:szCs w:val="20"/>
        </w:rPr>
        <w:t>the</w:t>
      </w:r>
      <w:proofErr w:type="spellEnd"/>
      <w:r>
        <w:rPr>
          <w:sz w:val="20"/>
          <w:szCs w:val="20"/>
        </w:rPr>
        <w:t xml:space="preserve"> </w:t>
      </w:r>
      <w:proofErr w:type="spellStart"/>
      <w:r w:rsidRPr="00A40D81">
        <w:rPr>
          <w:sz w:val="20"/>
          <w:szCs w:val="20"/>
        </w:rPr>
        <w:t>Institute</w:t>
      </w:r>
      <w:proofErr w:type="spellEnd"/>
      <w:r w:rsidRPr="00A40D81">
        <w:rPr>
          <w:sz w:val="20"/>
          <w:szCs w:val="20"/>
        </w:rPr>
        <w:t xml:space="preserve"> </w:t>
      </w:r>
      <w:proofErr w:type="spellStart"/>
      <w:r w:rsidRPr="00A40D81">
        <w:rPr>
          <w:sz w:val="20"/>
          <w:szCs w:val="20"/>
        </w:rPr>
        <w:t>of</w:t>
      </w:r>
      <w:proofErr w:type="spellEnd"/>
      <w:r w:rsidRPr="00A40D81">
        <w:rPr>
          <w:sz w:val="20"/>
          <w:szCs w:val="20"/>
        </w:rPr>
        <w:t xml:space="preserve"> </w:t>
      </w:r>
      <w:proofErr w:type="spellStart"/>
      <w:r w:rsidRPr="00A40D81">
        <w:rPr>
          <w:sz w:val="20"/>
          <w:szCs w:val="20"/>
        </w:rPr>
        <w:t>International</w:t>
      </w:r>
      <w:proofErr w:type="spellEnd"/>
      <w:r w:rsidRPr="00A40D81">
        <w:rPr>
          <w:sz w:val="20"/>
          <w:szCs w:val="20"/>
        </w:rPr>
        <w:t xml:space="preserve"> </w:t>
      </w:r>
      <w:proofErr w:type="spellStart"/>
      <w:r w:rsidRPr="00A40D81">
        <w:rPr>
          <w:sz w:val="20"/>
          <w:szCs w:val="20"/>
        </w:rPr>
        <w:t>Relations</w:t>
      </w:r>
      <w:proofErr w:type="spellEnd"/>
      <w:r w:rsidRPr="00A40D81">
        <w:rPr>
          <w:sz w:val="20"/>
          <w:szCs w:val="20"/>
        </w:rPr>
        <w:t xml:space="preserve"> </w:t>
      </w:r>
      <w:proofErr w:type="spellStart"/>
      <w:r w:rsidRPr="00A40D81">
        <w:rPr>
          <w:sz w:val="20"/>
          <w:szCs w:val="20"/>
        </w:rPr>
        <w:t>of</w:t>
      </w:r>
      <w:proofErr w:type="spellEnd"/>
      <w:r w:rsidRPr="00A40D81">
        <w:rPr>
          <w:sz w:val="20"/>
          <w:szCs w:val="20"/>
        </w:rPr>
        <w:t xml:space="preserve"> </w:t>
      </w:r>
      <w:proofErr w:type="spellStart"/>
      <w:r w:rsidRPr="00A40D81">
        <w:rPr>
          <w:sz w:val="20"/>
          <w:szCs w:val="20"/>
        </w:rPr>
        <w:t>the</w:t>
      </w:r>
      <w:proofErr w:type="spellEnd"/>
      <w:r w:rsidRPr="00A40D81">
        <w:rPr>
          <w:sz w:val="20"/>
          <w:szCs w:val="20"/>
        </w:rPr>
        <w:t xml:space="preserve"> </w:t>
      </w:r>
      <w:proofErr w:type="spellStart"/>
      <w:r w:rsidRPr="00A40D81">
        <w:rPr>
          <w:sz w:val="20"/>
          <w:szCs w:val="20"/>
        </w:rPr>
        <w:t>National</w:t>
      </w:r>
      <w:proofErr w:type="spellEnd"/>
      <w:r w:rsidRPr="00A40D81">
        <w:rPr>
          <w:sz w:val="20"/>
          <w:szCs w:val="20"/>
        </w:rPr>
        <w:t xml:space="preserve"> </w:t>
      </w:r>
      <w:proofErr w:type="spellStart"/>
      <w:r w:rsidRPr="00A40D81">
        <w:rPr>
          <w:sz w:val="20"/>
          <w:szCs w:val="20"/>
        </w:rPr>
        <w:t>Aviation</w:t>
      </w:r>
      <w:proofErr w:type="spellEnd"/>
      <w:r w:rsidRPr="00A40D81">
        <w:rPr>
          <w:sz w:val="20"/>
          <w:szCs w:val="20"/>
        </w:rPr>
        <w:t xml:space="preserve"> </w:t>
      </w:r>
      <w:proofErr w:type="spellStart"/>
      <w:r w:rsidRPr="00A40D81">
        <w:rPr>
          <w:sz w:val="20"/>
          <w:szCs w:val="20"/>
        </w:rPr>
        <w:t>University</w:t>
      </w:r>
      <w:proofErr w:type="spellEnd"/>
    </w:p>
    <w:p w:rsidR="001101CB" w:rsidRPr="0082109D" w:rsidRDefault="001101CB" w:rsidP="00A40D81">
      <w:pPr>
        <w:pStyle w:val="Default"/>
        <w:ind w:firstLine="709"/>
        <w:jc w:val="both"/>
        <w:rPr>
          <w:b/>
          <w:sz w:val="20"/>
          <w:szCs w:val="20"/>
          <w:lang w:val="en-US"/>
        </w:rPr>
      </w:pPr>
    </w:p>
    <w:p w:rsidR="001A3403" w:rsidRDefault="001A3403" w:rsidP="00A40D81">
      <w:pPr>
        <w:pStyle w:val="Default"/>
        <w:ind w:firstLine="709"/>
        <w:jc w:val="both"/>
        <w:rPr>
          <w:b/>
          <w:sz w:val="20"/>
          <w:szCs w:val="20"/>
        </w:rPr>
      </w:pPr>
      <w:r w:rsidRPr="001A3403">
        <w:rPr>
          <w:b/>
          <w:sz w:val="20"/>
          <w:szCs w:val="20"/>
        </w:rPr>
        <w:t>WORLD AND DOMESTIC TRENDS OF CONSOLIDATION PROCESSES IN THE BANK SPHERE</w:t>
      </w:r>
    </w:p>
    <w:p w:rsidR="001A3403" w:rsidRDefault="001A3403" w:rsidP="00A40D81">
      <w:pPr>
        <w:pStyle w:val="Default"/>
        <w:ind w:firstLine="709"/>
        <w:jc w:val="both"/>
        <w:rPr>
          <w:b/>
          <w:sz w:val="20"/>
          <w:szCs w:val="20"/>
        </w:rPr>
      </w:pPr>
    </w:p>
    <w:p w:rsidR="001A3403" w:rsidRPr="001A3403" w:rsidRDefault="001A3403" w:rsidP="00A40D81">
      <w:pPr>
        <w:spacing w:after="0" w:line="240" w:lineRule="auto"/>
        <w:ind w:firstLine="709"/>
        <w:jc w:val="both"/>
        <w:rPr>
          <w:i/>
          <w:sz w:val="20"/>
          <w:szCs w:val="20"/>
          <w:lang w:val="uk-UA"/>
        </w:rPr>
      </w:pPr>
      <w:proofErr w:type="spellStart"/>
      <w:r w:rsidRPr="001A3403">
        <w:rPr>
          <w:b/>
          <w:i/>
          <w:sz w:val="20"/>
          <w:szCs w:val="20"/>
          <w:lang w:val="uk-UA"/>
        </w:rPr>
        <w:t>Annotation</w:t>
      </w:r>
      <w:proofErr w:type="spellEnd"/>
      <w:r w:rsidRPr="001A3403">
        <w:rPr>
          <w:b/>
          <w:i/>
          <w:sz w:val="20"/>
          <w:szCs w:val="20"/>
          <w:lang w:val="uk-UA"/>
        </w:rPr>
        <w:t>.</w:t>
      </w:r>
      <w:r w:rsidRPr="001A3403">
        <w:rPr>
          <w:b/>
          <w:sz w:val="20"/>
          <w:szCs w:val="20"/>
          <w:lang w:val="uk-UA"/>
        </w:rPr>
        <w:t xml:space="preserve"> </w:t>
      </w:r>
      <w:r w:rsidRPr="00B65902">
        <w:rPr>
          <w:i/>
          <w:sz w:val="20"/>
          <w:szCs w:val="20"/>
          <w:lang w:val="uk-UA"/>
        </w:rPr>
        <w:t>Over</w:t>
      </w:r>
      <w:r w:rsidRPr="001A3403">
        <w:rPr>
          <w:i/>
          <w:sz w:val="20"/>
          <w:szCs w:val="20"/>
          <w:lang w:val="en-US"/>
        </w:rPr>
        <w:t xml:space="preserve"> the past twenty years, the processes of consolidation in the world banking sector have increased significantly, similar trends are also observed in the Ukrainian banking market. The reason for what is happening is not only the natural intra-industry inclination of banks to consolidate, but also external factors. In this regard, merger and acquisition agreements have recently become highly relevant. In this article, various types of mergers and acquisitions in different countries are analyzed. It was concluded that the experience of some countries in the organization of mergers and acquisitions could be introduced into the Ukrainian banking system, as it is a qualitative mechanism for the transformation of banks that are unable to function independently.</w:t>
      </w:r>
    </w:p>
    <w:p w:rsidR="001A3403" w:rsidRPr="001A3403" w:rsidRDefault="001A3403" w:rsidP="00A40D81">
      <w:pPr>
        <w:spacing w:after="0" w:line="240" w:lineRule="auto"/>
        <w:ind w:firstLine="709"/>
        <w:jc w:val="both"/>
        <w:rPr>
          <w:sz w:val="20"/>
          <w:szCs w:val="20"/>
          <w:lang w:val="uk-UA"/>
        </w:rPr>
      </w:pPr>
      <w:proofErr w:type="spellStart"/>
      <w:r w:rsidRPr="001A3403">
        <w:rPr>
          <w:b/>
          <w:sz w:val="20"/>
          <w:szCs w:val="20"/>
          <w:lang w:val="uk-UA"/>
        </w:rPr>
        <w:t>Key</w:t>
      </w:r>
      <w:proofErr w:type="spellEnd"/>
      <w:r w:rsidRPr="001A3403">
        <w:rPr>
          <w:b/>
          <w:sz w:val="20"/>
          <w:szCs w:val="20"/>
          <w:lang w:val="uk-UA"/>
        </w:rPr>
        <w:t xml:space="preserve"> </w:t>
      </w:r>
      <w:proofErr w:type="spellStart"/>
      <w:r w:rsidRPr="001A3403">
        <w:rPr>
          <w:b/>
          <w:sz w:val="20"/>
          <w:szCs w:val="20"/>
          <w:lang w:val="uk-UA"/>
        </w:rPr>
        <w:t>words</w:t>
      </w:r>
      <w:proofErr w:type="spellEnd"/>
      <w:r w:rsidRPr="001A3403">
        <w:rPr>
          <w:b/>
          <w:sz w:val="20"/>
          <w:szCs w:val="20"/>
          <w:lang w:val="uk-UA"/>
        </w:rPr>
        <w:t>:</w:t>
      </w:r>
      <w:r w:rsidRPr="001A3403">
        <w:rPr>
          <w:sz w:val="20"/>
          <w:szCs w:val="20"/>
          <w:lang w:val="uk-UA"/>
        </w:rPr>
        <w:t xml:space="preserve"> </w:t>
      </w:r>
      <w:proofErr w:type="spellStart"/>
      <w:r w:rsidRPr="001A3403">
        <w:rPr>
          <w:sz w:val="20"/>
          <w:szCs w:val="20"/>
          <w:lang w:val="uk-UA"/>
        </w:rPr>
        <w:t>consolidation</w:t>
      </w:r>
      <w:proofErr w:type="spellEnd"/>
      <w:r w:rsidRPr="001A3403">
        <w:rPr>
          <w:sz w:val="20"/>
          <w:szCs w:val="20"/>
          <w:lang w:val="uk-UA"/>
        </w:rPr>
        <w:t xml:space="preserve">, </w:t>
      </w:r>
      <w:proofErr w:type="spellStart"/>
      <w:r w:rsidRPr="001A3403">
        <w:rPr>
          <w:sz w:val="20"/>
          <w:szCs w:val="20"/>
          <w:lang w:val="uk-UA"/>
        </w:rPr>
        <w:t>mergers</w:t>
      </w:r>
      <w:proofErr w:type="spellEnd"/>
      <w:r w:rsidRPr="001A3403">
        <w:rPr>
          <w:sz w:val="20"/>
          <w:szCs w:val="20"/>
          <w:lang w:val="uk-UA"/>
        </w:rPr>
        <w:t xml:space="preserve"> </w:t>
      </w:r>
      <w:proofErr w:type="spellStart"/>
      <w:r w:rsidRPr="001A3403">
        <w:rPr>
          <w:sz w:val="20"/>
          <w:szCs w:val="20"/>
          <w:lang w:val="uk-UA"/>
        </w:rPr>
        <w:t>and</w:t>
      </w:r>
      <w:proofErr w:type="spellEnd"/>
      <w:r w:rsidRPr="001A3403">
        <w:rPr>
          <w:sz w:val="20"/>
          <w:szCs w:val="20"/>
          <w:lang w:val="uk-UA"/>
        </w:rPr>
        <w:t xml:space="preserve"> </w:t>
      </w:r>
      <w:proofErr w:type="spellStart"/>
      <w:r w:rsidRPr="001A3403">
        <w:rPr>
          <w:sz w:val="20"/>
          <w:szCs w:val="20"/>
          <w:lang w:val="uk-UA"/>
        </w:rPr>
        <w:t>acquisitions</w:t>
      </w:r>
      <w:proofErr w:type="spellEnd"/>
      <w:r w:rsidRPr="001A3403">
        <w:rPr>
          <w:sz w:val="20"/>
          <w:szCs w:val="20"/>
          <w:lang w:val="uk-UA"/>
        </w:rPr>
        <w:t xml:space="preserve">, </w:t>
      </w:r>
      <w:proofErr w:type="spellStart"/>
      <w:r w:rsidRPr="001A3403">
        <w:rPr>
          <w:sz w:val="20"/>
          <w:szCs w:val="20"/>
          <w:lang w:val="uk-UA"/>
        </w:rPr>
        <w:t>foreign</w:t>
      </w:r>
      <w:proofErr w:type="spellEnd"/>
      <w:r w:rsidRPr="001A3403">
        <w:rPr>
          <w:sz w:val="20"/>
          <w:szCs w:val="20"/>
          <w:lang w:val="uk-UA"/>
        </w:rPr>
        <w:t xml:space="preserve"> </w:t>
      </w:r>
      <w:proofErr w:type="spellStart"/>
      <w:r w:rsidRPr="001A3403">
        <w:rPr>
          <w:sz w:val="20"/>
          <w:szCs w:val="20"/>
          <w:lang w:val="uk-UA"/>
        </w:rPr>
        <w:t>bank</w:t>
      </w:r>
      <w:proofErr w:type="spellEnd"/>
      <w:r w:rsidRPr="001A3403">
        <w:rPr>
          <w:sz w:val="20"/>
          <w:szCs w:val="20"/>
          <w:lang w:val="uk-UA"/>
        </w:rPr>
        <w:t xml:space="preserve"> </w:t>
      </w:r>
      <w:proofErr w:type="spellStart"/>
      <w:r w:rsidRPr="001A3403">
        <w:rPr>
          <w:sz w:val="20"/>
          <w:szCs w:val="20"/>
          <w:lang w:val="uk-UA"/>
        </w:rPr>
        <w:t>capital</w:t>
      </w:r>
      <w:proofErr w:type="spellEnd"/>
      <w:r w:rsidRPr="001A3403">
        <w:rPr>
          <w:sz w:val="20"/>
          <w:szCs w:val="20"/>
          <w:lang w:val="uk-UA"/>
        </w:rPr>
        <w:t>.</w:t>
      </w:r>
    </w:p>
    <w:p w:rsidR="001A3403" w:rsidRDefault="001A3403" w:rsidP="00A40D81">
      <w:pPr>
        <w:spacing w:after="0" w:line="240" w:lineRule="auto"/>
        <w:ind w:firstLine="709"/>
        <w:jc w:val="both"/>
        <w:rPr>
          <w:b/>
          <w:sz w:val="20"/>
          <w:szCs w:val="20"/>
          <w:lang w:val="uk-UA"/>
        </w:rPr>
      </w:pPr>
    </w:p>
    <w:p w:rsidR="006900C6" w:rsidRPr="00717747" w:rsidRDefault="00F17D97" w:rsidP="00A40D81">
      <w:pPr>
        <w:spacing w:after="0" w:line="240" w:lineRule="auto"/>
        <w:ind w:firstLine="709"/>
        <w:jc w:val="both"/>
        <w:rPr>
          <w:sz w:val="20"/>
          <w:szCs w:val="20"/>
          <w:lang w:val="uk-UA"/>
        </w:rPr>
      </w:pPr>
      <w:r w:rsidRPr="00A40D81">
        <w:rPr>
          <w:b/>
          <w:sz w:val="20"/>
          <w:szCs w:val="20"/>
          <w:lang w:val="uk-UA"/>
        </w:rPr>
        <w:t>Актуальність проблеми.</w:t>
      </w:r>
      <w:r>
        <w:rPr>
          <w:b/>
          <w:sz w:val="20"/>
          <w:szCs w:val="20"/>
          <w:lang w:val="uk-UA"/>
        </w:rPr>
        <w:t xml:space="preserve"> </w:t>
      </w:r>
      <w:r w:rsidR="006900C6" w:rsidRPr="00717747">
        <w:rPr>
          <w:sz w:val="20"/>
          <w:szCs w:val="20"/>
          <w:lang w:val="uk-UA"/>
        </w:rPr>
        <w:t>На даний момент часу консолідацію в банківському секторі можна розглядати через призму банківських злиттів і поглинань, обсяг угод за якими в умовах сучасного фінансового ринку зростає з кожним роком. Ринок злиттів і поглинань (M&amp;A) в цілому стає все більш цивілізованим, про що свідчить скорочення числа недружніх поглинань. Консолідація в банківському секторі обумовлена</w:t>
      </w:r>
      <w:r w:rsidR="00E22ECA">
        <w:rPr>
          <w:sz w:val="20"/>
          <w:szCs w:val="20"/>
          <w:lang w:val="uk-UA"/>
        </w:rPr>
        <w:t xml:space="preserve"> </w:t>
      </w:r>
      <w:r w:rsidR="006900C6" w:rsidRPr="00717747">
        <w:rPr>
          <w:sz w:val="20"/>
          <w:szCs w:val="20"/>
          <w:lang w:val="uk-UA"/>
        </w:rPr>
        <w:t xml:space="preserve">загальним зростанням економіки країни, глобалізацією фінансових ринків і подальшої інтернаціоналізацією бізнесу. В недалекому майбутньому процес упорядкування структур банківських груп стане основною тенденцією ринку, внаслідок </w:t>
      </w:r>
      <w:r w:rsidR="00E80871">
        <w:rPr>
          <w:sz w:val="20"/>
          <w:szCs w:val="20"/>
          <w:lang w:val="uk-UA"/>
        </w:rPr>
        <w:t xml:space="preserve">чого </w:t>
      </w:r>
      <w:r w:rsidR="006900C6" w:rsidRPr="00717747">
        <w:rPr>
          <w:sz w:val="20"/>
          <w:szCs w:val="20"/>
          <w:lang w:val="uk-UA"/>
        </w:rPr>
        <w:t>помітно зростає інтерес до організації M&amp;A - угод в банківському секторі.</w:t>
      </w:r>
    </w:p>
    <w:p w:rsidR="00F17D97" w:rsidRPr="00F17D97" w:rsidRDefault="00F17D97" w:rsidP="00F17D97">
      <w:pPr>
        <w:spacing w:after="0" w:line="240" w:lineRule="auto"/>
        <w:ind w:firstLine="709"/>
        <w:jc w:val="both"/>
        <w:rPr>
          <w:sz w:val="20"/>
          <w:szCs w:val="20"/>
          <w:lang w:val="uk-UA"/>
        </w:rPr>
      </w:pPr>
      <w:r w:rsidRPr="00A40D81">
        <w:rPr>
          <w:b/>
          <w:sz w:val="20"/>
          <w:szCs w:val="20"/>
          <w:lang w:val="uk-UA"/>
        </w:rPr>
        <w:t>Аналіз досліджень і публікацій.</w:t>
      </w:r>
      <w:r>
        <w:rPr>
          <w:b/>
          <w:sz w:val="20"/>
          <w:szCs w:val="20"/>
          <w:lang w:val="uk-UA"/>
        </w:rPr>
        <w:t xml:space="preserve"> </w:t>
      </w:r>
      <w:r w:rsidRPr="00F17D97">
        <w:rPr>
          <w:sz w:val="20"/>
          <w:szCs w:val="20"/>
          <w:lang w:val="uk-UA"/>
        </w:rPr>
        <w:t xml:space="preserve">Проблеми злиття та поглинання в банківській сфері досліджували багато відомих західних вчених, зокрема А. Берлі, Р. </w:t>
      </w:r>
      <w:proofErr w:type="spellStart"/>
      <w:r w:rsidRPr="00F17D97">
        <w:rPr>
          <w:sz w:val="20"/>
          <w:szCs w:val="20"/>
          <w:lang w:val="uk-UA"/>
        </w:rPr>
        <w:t>Брейлі</w:t>
      </w:r>
      <w:proofErr w:type="spellEnd"/>
      <w:r w:rsidRPr="00F17D97">
        <w:rPr>
          <w:sz w:val="20"/>
          <w:szCs w:val="20"/>
          <w:lang w:val="uk-UA"/>
        </w:rPr>
        <w:t xml:space="preserve">, П. </w:t>
      </w:r>
      <w:proofErr w:type="spellStart"/>
      <w:r w:rsidRPr="00F17D97">
        <w:rPr>
          <w:sz w:val="20"/>
          <w:szCs w:val="20"/>
          <w:lang w:val="uk-UA"/>
        </w:rPr>
        <w:t>Гохан</w:t>
      </w:r>
      <w:proofErr w:type="spellEnd"/>
      <w:r w:rsidRPr="00F17D97">
        <w:rPr>
          <w:sz w:val="20"/>
          <w:szCs w:val="20"/>
          <w:lang w:val="uk-UA"/>
        </w:rPr>
        <w:t xml:space="preserve">, Т. </w:t>
      </w:r>
      <w:proofErr w:type="spellStart"/>
      <w:r w:rsidRPr="00F17D97">
        <w:rPr>
          <w:sz w:val="20"/>
          <w:szCs w:val="20"/>
          <w:lang w:val="uk-UA"/>
        </w:rPr>
        <w:t>Коупленд</w:t>
      </w:r>
      <w:proofErr w:type="spellEnd"/>
      <w:r w:rsidRPr="00F17D97">
        <w:rPr>
          <w:sz w:val="20"/>
          <w:szCs w:val="20"/>
          <w:lang w:val="uk-UA"/>
        </w:rPr>
        <w:t xml:space="preserve">, С. </w:t>
      </w:r>
      <w:proofErr w:type="spellStart"/>
      <w:r w:rsidRPr="00F17D97">
        <w:rPr>
          <w:sz w:val="20"/>
          <w:szCs w:val="20"/>
          <w:lang w:val="uk-UA"/>
        </w:rPr>
        <w:t>Майєрс</w:t>
      </w:r>
      <w:proofErr w:type="spellEnd"/>
      <w:r w:rsidRPr="00F17D97">
        <w:rPr>
          <w:sz w:val="20"/>
          <w:szCs w:val="20"/>
          <w:lang w:val="uk-UA"/>
        </w:rPr>
        <w:t xml:space="preserve">, Р. Сміт, Р. </w:t>
      </w:r>
      <w:proofErr w:type="spellStart"/>
      <w:r w:rsidRPr="00F17D97">
        <w:rPr>
          <w:sz w:val="20"/>
          <w:szCs w:val="20"/>
          <w:lang w:val="uk-UA"/>
        </w:rPr>
        <w:t>Фостер</w:t>
      </w:r>
      <w:proofErr w:type="spellEnd"/>
      <w:r w:rsidRPr="00F17D97">
        <w:rPr>
          <w:sz w:val="20"/>
          <w:szCs w:val="20"/>
          <w:lang w:val="uk-UA"/>
        </w:rPr>
        <w:t xml:space="preserve">, А. Лажу, Дж. Ван </w:t>
      </w:r>
      <w:proofErr w:type="spellStart"/>
      <w:r w:rsidRPr="00F17D97">
        <w:rPr>
          <w:sz w:val="20"/>
          <w:szCs w:val="20"/>
          <w:lang w:val="uk-UA"/>
        </w:rPr>
        <w:t>Хорн</w:t>
      </w:r>
      <w:proofErr w:type="spellEnd"/>
      <w:r w:rsidRPr="00F17D97">
        <w:rPr>
          <w:sz w:val="20"/>
          <w:szCs w:val="20"/>
          <w:lang w:val="uk-UA"/>
        </w:rPr>
        <w:t xml:space="preserve"> та ін. </w:t>
      </w:r>
    </w:p>
    <w:p w:rsidR="00F17D97" w:rsidRDefault="00F17D97" w:rsidP="00F17D97">
      <w:pPr>
        <w:spacing w:after="0" w:line="240" w:lineRule="auto"/>
        <w:ind w:firstLine="709"/>
        <w:jc w:val="both"/>
        <w:rPr>
          <w:sz w:val="20"/>
          <w:szCs w:val="20"/>
          <w:lang w:val="uk-UA"/>
        </w:rPr>
      </w:pPr>
      <w:r w:rsidRPr="00F17D97">
        <w:rPr>
          <w:sz w:val="20"/>
          <w:szCs w:val="20"/>
          <w:lang w:val="uk-UA"/>
        </w:rPr>
        <w:t xml:space="preserve">Теоретичні та практичні аспекти процесів злиття і поглинання банківських установ висвітлені в наукових публікаціях таких вітчизняних авторів, як: </w:t>
      </w:r>
      <w:proofErr w:type="spellStart"/>
      <w:r w:rsidRPr="00F17D97">
        <w:rPr>
          <w:sz w:val="20"/>
          <w:szCs w:val="20"/>
          <w:lang w:val="uk-UA"/>
        </w:rPr>
        <w:t>Богма</w:t>
      </w:r>
      <w:proofErr w:type="spellEnd"/>
      <w:r w:rsidRPr="00F17D97">
        <w:rPr>
          <w:sz w:val="20"/>
          <w:szCs w:val="20"/>
          <w:lang w:val="uk-UA"/>
        </w:rPr>
        <w:t xml:space="preserve"> С.Д., </w:t>
      </w:r>
      <w:proofErr w:type="spellStart"/>
      <w:r w:rsidRPr="00F17D97">
        <w:rPr>
          <w:sz w:val="20"/>
          <w:szCs w:val="20"/>
          <w:lang w:val="uk-UA"/>
        </w:rPr>
        <w:t>Васильчишин</w:t>
      </w:r>
      <w:proofErr w:type="spellEnd"/>
      <w:r w:rsidRPr="00F17D97">
        <w:rPr>
          <w:sz w:val="20"/>
          <w:szCs w:val="20"/>
          <w:lang w:val="uk-UA"/>
        </w:rPr>
        <w:t xml:space="preserve"> О.Б., </w:t>
      </w:r>
      <w:proofErr w:type="spellStart"/>
      <w:r w:rsidRPr="00F17D97">
        <w:rPr>
          <w:sz w:val="20"/>
          <w:szCs w:val="20"/>
          <w:lang w:val="uk-UA"/>
        </w:rPr>
        <w:t>Вішнякова</w:t>
      </w:r>
      <w:proofErr w:type="spellEnd"/>
      <w:r w:rsidRPr="00F17D97">
        <w:rPr>
          <w:sz w:val="20"/>
          <w:szCs w:val="20"/>
          <w:lang w:val="uk-UA"/>
        </w:rPr>
        <w:t xml:space="preserve"> О.В., Горбатюк Л.А., </w:t>
      </w:r>
      <w:proofErr w:type="spellStart"/>
      <w:r w:rsidRPr="00F17D97">
        <w:rPr>
          <w:sz w:val="20"/>
          <w:szCs w:val="20"/>
          <w:lang w:val="uk-UA"/>
        </w:rPr>
        <w:t>Д'яконова</w:t>
      </w:r>
      <w:proofErr w:type="spellEnd"/>
      <w:r w:rsidRPr="00F17D97">
        <w:rPr>
          <w:sz w:val="20"/>
          <w:szCs w:val="20"/>
          <w:lang w:val="uk-UA"/>
        </w:rPr>
        <w:t xml:space="preserve"> І.І., </w:t>
      </w:r>
      <w:proofErr w:type="spellStart"/>
      <w:r w:rsidRPr="00F17D97">
        <w:rPr>
          <w:sz w:val="20"/>
          <w:szCs w:val="20"/>
          <w:lang w:val="uk-UA"/>
        </w:rPr>
        <w:t>Кичань</w:t>
      </w:r>
      <w:proofErr w:type="spellEnd"/>
      <w:r w:rsidRPr="00F17D97">
        <w:rPr>
          <w:sz w:val="20"/>
          <w:szCs w:val="20"/>
          <w:lang w:val="uk-UA"/>
        </w:rPr>
        <w:t xml:space="preserve"> О.М., </w:t>
      </w:r>
      <w:proofErr w:type="spellStart"/>
      <w:r w:rsidRPr="00F17D97">
        <w:rPr>
          <w:sz w:val="20"/>
          <w:szCs w:val="20"/>
          <w:lang w:val="uk-UA"/>
        </w:rPr>
        <w:t>Костюченко</w:t>
      </w:r>
      <w:proofErr w:type="spellEnd"/>
      <w:r w:rsidRPr="00F17D97">
        <w:rPr>
          <w:sz w:val="20"/>
          <w:szCs w:val="20"/>
          <w:lang w:val="uk-UA"/>
        </w:rPr>
        <w:t xml:space="preserve"> Я.О., </w:t>
      </w:r>
      <w:proofErr w:type="spellStart"/>
      <w:r w:rsidRPr="00F17D97">
        <w:rPr>
          <w:sz w:val="20"/>
          <w:szCs w:val="20"/>
          <w:lang w:val="uk-UA"/>
        </w:rPr>
        <w:t>Левківський</w:t>
      </w:r>
      <w:proofErr w:type="spellEnd"/>
      <w:r w:rsidRPr="00F17D97">
        <w:rPr>
          <w:sz w:val="20"/>
          <w:szCs w:val="20"/>
          <w:lang w:val="uk-UA"/>
        </w:rPr>
        <w:t xml:space="preserve"> В.М., Мусій Я.М., Паньків Х.П., </w:t>
      </w:r>
      <w:proofErr w:type="spellStart"/>
      <w:r w:rsidRPr="00F17D97">
        <w:rPr>
          <w:sz w:val="20"/>
          <w:szCs w:val="20"/>
          <w:lang w:val="uk-UA"/>
        </w:rPr>
        <w:t>Суторміна</w:t>
      </w:r>
      <w:proofErr w:type="spellEnd"/>
      <w:r w:rsidRPr="00F17D97">
        <w:rPr>
          <w:sz w:val="20"/>
          <w:szCs w:val="20"/>
          <w:lang w:val="uk-UA"/>
        </w:rPr>
        <w:t xml:space="preserve"> К.М., Фірман Р.В., </w:t>
      </w:r>
      <w:proofErr w:type="spellStart"/>
      <w:r w:rsidRPr="00F17D97">
        <w:rPr>
          <w:sz w:val="20"/>
          <w:szCs w:val="20"/>
          <w:lang w:val="uk-UA"/>
        </w:rPr>
        <w:t>Чурило</w:t>
      </w:r>
      <w:proofErr w:type="spellEnd"/>
      <w:r w:rsidRPr="00F17D97">
        <w:rPr>
          <w:sz w:val="20"/>
          <w:szCs w:val="20"/>
          <w:lang w:val="uk-UA"/>
        </w:rPr>
        <w:t xml:space="preserve"> П.Б., </w:t>
      </w:r>
      <w:proofErr w:type="spellStart"/>
      <w:r w:rsidRPr="00F17D97">
        <w:rPr>
          <w:sz w:val="20"/>
          <w:szCs w:val="20"/>
          <w:lang w:val="uk-UA"/>
        </w:rPr>
        <w:t>Шпигоцька</w:t>
      </w:r>
      <w:proofErr w:type="spellEnd"/>
      <w:r w:rsidRPr="00F17D97">
        <w:rPr>
          <w:sz w:val="20"/>
          <w:szCs w:val="20"/>
          <w:lang w:val="uk-UA"/>
        </w:rPr>
        <w:t xml:space="preserve"> Н.О., Шульга К.Д. та інші.</w:t>
      </w:r>
    </w:p>
    <w:p w:rsidR="00F17D97" w:rsidRPr="00F17D97" w:rsidRDefault="00F17D97" w:rsidP="00F17D97">
      <w:pPr>
        <w:autoSpaceDE w:val="0"/>
        <w:autoSpaceDN w:val="0"/>
        <w:adjustRightInd w:val="0"/>
        <w:spacing w:after="0" w:line="240" w:lineRule="auto"/>
        <w:ind w:firstLine="709"/>
        <w:jc w:val="both"/>
        <w:rPr>
          <w:sz w:val="20"/>
          <w:szCs w:val="20"/>
          <w:lang w:val="uk-UA"/>
        </w:rPr>
      </w:pPr>
      <w:r w:rsidRPr="00F17D97">
        <w:rPr>
          <w:b/>
          <w:sz w:val="20"/>
          <w:szCs w:val="20"/>
          <w:lang w:val="uk-UA"/>
        </w:rPr>
        <w:lastRenderedPageBreak/>
        <w:t xml:space="preserve">Метою статті </w:t>
      </w:r>
      <w:r w:rsidRPr="00F17D97">
        <w:rPr>
          <w:sz w:val="20"/>
          <w:szCs w:val="20"/>
          <w:lang w:val="uk-UA"/>
        </w:rPr>
        <w:t>є</w:t>
      </w:r>
      <w:r w:rsidRPr="00F17D97">
        <w:rPr>
          <w:b/>
          <w:sz w:val="20"/>
          <w:szCs w:val="20"/>
          <w:lang w:val="uk-UA"/>
        </w:rPr>
        <w:t xml:space="preserve"> </w:t>
      </w:r>
      <w:r w:rsidRPr="00F17D97">
        <w:rPr>
          <w:sz w:val="20"/>
          <w:szCs w:val="20"/>
          <w:lang w:val="uk-UA"/>
        </w:rPr>
        <w:t xml:space="preserve">аналіз ринку </w:t>
      </w:r>
      <w:r>
        <w:rPr>
          <w:sz w:val="20"/>
          <w:szCs w:val="20"/>
          <w:lang w:val="uk-UA"/>
        </w:rPr>
        <w:t>консолідації</w:t>
      </w:r>
      <w:r w:rsidRPr="00F17D97">
        <w:rPr>
          <w:sz w:val="20"/>
          <w:szCs w:val="20"/>
          <w:lang w:val="uk-UA"/>
        </w:rPr>
        <w:t xml:space="preserve"> в банківській сфері у світі та в Україні, визначення та систематизація характерних особливостей його розвитку для дослідження ключових причин процесів злиття та поглинання</w:t>
      </w:r>
      <w:r>
        <w:rPr>
          <w:sz w:val="20"/>
          <w:szCs w:val="20"/>
          <w:lang w:val="uk-UA"/>
        </w:rPr>
        <w:t xml:space="preserve"> в банківській сфері</w:t>
      </w:r>
      <w:r w:rsidRPr="00F17D97">
        <w:rPr>
          <w:sz w:val="20"/>
          <w:szCs w:val="20"/>
          <w:lang w:val="uk-UA"/>
        </w:rPr>
        <w:t>.</w:t>
      </w:r>
    </w:p>
    <w:p w:rsidR="00CC6F66" w:rsidRPr="00CC6F66" w:rsidRDefault="00A907D6" w:rsidP="00E80871">
      <w:pPr>
        <w:spacing w:after="0" w:line="240" w:lineRule="auto"/>
        <w:ind w:firstLine="709"/>
        <w:jc w:val="both"/>
        <w:rPr>
          <w:sz w:val="20"/>
          <w:szCs w:val="20"/>
          <w:lang w:val="uk-UA"/>
        </w:rPr>
      </w:pPr>
      <w:r w:rsidRPr="00A40D81">
        <w:rPr>
          <w:b/>
          <w:sz w:val="20"/>
          <w:szCs w:val="20"/>
          <w:lang w:val="uk-UA"/>
        </w:rPr>
        <w:t>Виклад основного матеріалу</w:t>
      </w:r>
      <w:r w:rsidRPr="00CC6F66">
        <w:rPr>
          <w:sz w:val="20"/>
          <w:szCs w:val="20"/>
          <w:lang w:val="uk-UA"/>
        </w:rPr>
        <w:t xml:space="preserve">. </w:t>
      </w:r>
      <w:r w:rsidR="00CC6F66" w:rsidRPr="00CC6F66">
        <w:rPr>
          <w:sz w:val="20"/>
          <w:szCs w:val="20"/>
          <w:lang w:val="uk-UA"/>
        </w:rPr>
        <w:t xml:space="preserve"> Глобалізація</w:t>
      </w:r>
      <w:r w:rsidR="00CC6F66">
        <w:rPr>
          <w:sz w:val="20"/>
          <w:szCs w:val="20"/>
          <w:lang w:val="uk-UA"/>
        </w:rPr>
        <w:t xml:space="preserve"> </w:t>
      </w:r>
      <w:r w:rsidR="00CC6F66" w:rsidRPr="00CC6F66">
        <w:rPr>
          <w:sz w:val="20"/>
          <w:szCs w:val="20"/>
          <w:lang w:val="uk-UA"/>
        </w:rPr>
        <w:t>виступ</w:t>
      </w:r>
      <w:r w:rsidR="00CC6F66">
        <w:rPr>
          <w:sz w:val="20"/>
          <w:szCs w:val="20"/>
          <w:lang w:val="uk-UA"/>
        </w:rPr>
        <w:t>и</w:t>
      </w:r>
      <w:r w:rsidR="00CC6F66" w:rsidRPr="00CC6F66">
        <w:rPr>
          <w:sz w:val="20"/>
          <w:szCs w:val="20"/>
          <w:lang w:val="uk-UA"/>
        </w:rPr>
        <w:t>ла одним з основних чинників прискорення</w:t>
      </w:r>
      <w:r w:rsidR="00CC6F66">
        <w:rPr>
          <w:sz w:val="20"/>
          <w:szCs w:val="20"/>
          <w:lang w:val="uk-UA"/>
        </w:rPr>
        <w:t xml:space="preserve"> </w:t>
      </w:r>
      <w:r w:rsidR="00CC6F66" w:rsidRPr="00CC6F66">
        <w:rPr>
          <w:sz w:val="20"/>
          <w:szCs w:val="20"/>
          <w:lang w:val="uk-UA"/>
        </w:rPr>
        <w:t>конкурентного тиску на фінансових ринках.</w:t>
      </w:r>
      <w:r w:rsidR="00CC6F66">
        <w:rPr>
          <w:sz w:val="20"/>
          <w:szCs w:val="20"/>
          <w:lang w:val="uk-UA"/>
        </w:rPr>
        <w:t xml:space="preserve"> </w:t>
      </w:r>
      <w:r w:rsidR="00CC6F66" w:rsidRPr="00CC6F66">
        <w:rPr>
          <w:sz w:val="20"/>
          <w:szCs w:val="20"/>
          <w:lang w:val="uk-UA"/>
        </w:rPr>
        <w:t>При такій досить складній обстановці, банки</w:t>
      </w:r>
      <w:r w:rsidR="00CC6F66">
        <w:rPr>
          <w:sz w:val="20"/>
          <w:szCs w:val="20"/>
          <w:lang w:val="uk-UA"/>
        </w:rPr>
        <w:t xml:space="preserve"> </w:t>
      </w:r>
      <w:r w:rsidR="00CC6F66" w:rsidRPr="00CC6F66">
        <w:rPr>
          <w:sz w:val="20"/>
          <w:szCs w:val="20"/>
          <w:lang w:val="uk-UA"/>
        </w:rPr>
        <w:t xml:space="preserve">вибирають </w:t>
      </w:r>
      <w:r w:rsidR="00CC6F66">
        <w:rPr>
          <w:sz w:val="20"/>
          <w:szCs w:val="20"/>
          <w:lang w:val="uk-UA"/>
        </w:rPr>
        <w:t>консолідацію</w:t>
      </w:r>
      <w:r w:rsidR="00CC6F66" w:rsidRPr="00CC6F66">
        <w:rPr>
          <w:sz w:val="20"/>
          <w:szCs w:val="20"/>
          <w:lang w:val="uk-UA"/>
        </w:rPr>
        <w:t xml:space="preserve"> як кращий спосіб виживання і</w:t>
      </w:r>
      <w:r w:rsidR="00CC6F66">
        <w:rPr>
          <w:sz w:val="20"/>
          <w:szCs w:val="20"/>
          <w:lang w:val="uk-UA"/>
        </w:rPr>
        <w:t xml:space="preserve"> </w:t>
      </w:r>
      <w:r w:rsidR="00CC6F66" w:rsidRPr="00CC6F66">
        <w:rPr>
          <w:sz w:val="20"/>
          <w:szCs w:val="20"/>
          <w:lang w:val="uk-UA"/>
        </w:rPr>
        <w:t>конкуренції з суперниками.</w:t>
      </w:r>
      <w:r w:rsidR="00CC6F66">
        <w:rPr>
          <w:sz w:val="20"/>
          <w:szCs w:val="20"/>
          <w:lang w:val="uk-UA"/>
        </w:rPr>
        <w:t xml:space="preserve"> </w:t>
      </w:r>
      <w:r w:rsidR="00CC6F66" w:rsidRPr="00CC6F66">
        <w:rPr>
          <w:sz w:val="20"/>
          <w:szCs w:val="20"/>
          <w:lang w:val="uk-UA"/>
        </w:rPr>
        <w:t>Тому, злиття у фінансовому секторі в складних умовах є кращою стратегічної альтернативою дл</w:t>
      </w:r>
      <w:r w:rsidR="00CC6F66">
        <w:rPr>
          <w:sz w:val="20"/>
          <w:szCs w:val="20"/>
          <w:lang w:val="uk-UA"/>
        </w:rPr>
        <w:t>я банків «залишитися в строю». Н</w:t>
      </w:r>
      <w:r w:rsidR="00CC6F66" w:rsidRPr="00CC6F66">
        <w:rPr>
          <w:sz w:val="20"/>
          <w:szCs w:val="20"/>
          <w:lang w:val="uk-UA"/>
        </w:rPr>
        <w:t>айсильніші коливання</w:t>
      </w:r>
      <w:r w:rsidR="00CC6F66">
        <w:rPr>
          <w:sz w:val="20"/>
          <w:szCs w:val="20"/>
          <w:lang w:val="uk-UA"/>
        </w:rPr>
        <w:t xml:space="preserve"> </w:t>
      </w:r>
      <w:r w:rsidR="00CC6F66" w:rsidRPr="00CC6F66">
        <w:rPr>
          <w:sz w:val="20"/>
          <w:szCs w:val="20"/>
          <w:lang w:val="uk-UA"/>
        </w:rPr>
        <w:t xml:space="preserve">світового фінансового ринку перетворили </w:t>
      </w:r>
      <w:r w:rsidR="00CC6F66">
        <w:rPr>
          <w:sz w:val="20"/>
          <w:szCs w:val="20"/>
          <w:lang w:val="uk-UA"/>
        </w:rPr>
        <w:t>злиття і поглинання</w:t>
      </w:r>
      <w:r w:rsidR="00CC6F66" w:rsidRPr="00CC6F66">
        <w:rPr>
          <w:sz w:val="20"/>
          <w:szCs w:val="20"/>
          <w:lang w:val="uk-UA"/>
        </w:rPr>
        <w:t xml:space="preserve"> в</w:t>
      </w:r>
      <w:r w:rsidR="00CC6F66">
        <w:rPr>
          <w:sz w:val="20"/>
          <w:szCs w:val="20"/>
          <w:lang w:val="uk-UA"/>
        </w:rPr>
        <w:t xml:space="preserve"> </w:t>
      </w:r>
      <w:r w:rsidR="00CC6F66" w:rsidRPr="00CC6F66">
        <w:rPr>
          <w:sz w:val="20"/>
          <w:szCs w:val="20"/>
          <w:lang w:val="uk-UA"/>
        </w:rPr>
        <w:t>досить популярну бізнес форму банківських</w:t>
      </w:r>
      <w:r w:rsidR="00CC6F66">
        <w:rPr>
          <w:sz w:val="20"/>
          <w:szCs w:val="20"/>
          <w:lang w:val="uk-UA"/>
        </w:rPr>
        <w:t xml:space="preserve"> </w:t>
      </w:r>
      <w:r w:rsidR="00CC6F66" w:rsidRPr="00CC6F66">
        <w:rPr>
          <w:sz w:val="20"/>
          <w:szCs w:val="20"/>
          <w:lang w:val="uk-UA"/>
        </w:rPr>
        <w:t>с</w:t>
      </w:r>
      <w:r w:rsidR="00CC6F66">
        <w:rPr>
          <w:sz w:val="20"/>
          <w:szCs w:val="20"/>
          <w:lang w:val="uk-UA"/>
        </w:rPr>
        <w:t>оюзів</w:t>
      </w:r>
      <w:r w:rsidR="00CC6F66" w:rsidRPr="00CC6F66">
        <w:rPr>
          <w:sz w:val="20"/>
          <w:szCs w:val="20"/>
          <w:lang w:val="uk-UA"/>
        </w:rPr>
        <w:t>, які беруть на себе критично важливі</w:t>
      </w:r>
      <w:r w:rsidR="00CC6F66">
        <w:rPr>
          <w:sz w:val="20"/>
          <w:szCs w:val="20"/>
          <w:lang w:val="uk-UA"/>
        </w:rPr>
        <w:t xml:space="preserve"> </w:t>
      </w:r>
      <w:r w:rsidR="00CC6F66" w:rsidRPr="00CC6F66">
        <w:rPr>
          <w:sz w:val="20"/>
          <w:szCs w:val="20"/>
          <w:lang w:val="uk-UA"/>
        </w:rPr>
        <w:t>структурні корпоративні зміни.</w:t>
      </w:r>
      <w:r w:rsidR="00CC6F66">
        <w:rPr>
          <w:sz w:val="20"/>
          <w:szCs w:val="20"/>
          <w:lang w:val="uk-UA"/>
        </w:rPr>
        <w:t xml:space="preserve"> </w:t>
      </w:r>
      <w:r w:rsidR="00CC6F66" w:rsidRPr="00CC6F66">
        <w:rPr>
          <w:sz w:val="20"/>
          <w:szCs w:val="20"/>
          <w:lang w:val="uk-UA"/>
        </w:rPr>
        <w:t>Деякі банки роблять це шляхом поглинання за</w:t>
      </w:r>
      <w:r w:rsidR="00CC6F66">
        <w:rPr>
          <w:sz w:val="20"/>
          <w:szCs w:val="20"/>
          <w:lang w:val="uk-UA"/>
        </w:rPr>
        <w:t xml:space="preserve"> </w:t>
      </w:r>
      <w:r w:rsidR="00CC6F66" w:rsidRPr="00CC6F66">
        <w:rPr>
          <w:sz w:val="20"/>
          <w:szCs w:val="20"/>
          <w:lang w:val="uk-UA"/>
        </w:rPr>
        <w:t>рахунок придбання іншого банку, який,</w:t>
      </w:r>
      <w:r w:rsidR="00CC6F66">
        <w:rPr>
          <w:sz w:val="20"/>
          <w:szCs w:val="20"/>
          <w:lang w:val="uk-UA"/>
        </w:rPr>
        <w:t xml:space="preserve"> </w:t>
      </w:r>
      <w:r w:rsidR="00CC6F66" w:rsidRPr="00CC6F66">
        <w:rPr>
          <w:sz w:val="20"/>
          <w:szCs w:val="20"/>
          <w:lang w:val="uk-UA"/>
        </w:rPr>
        <w:t>втрачає свою ідентичність.</w:t>
      </w:r>
      <w:r w:rsidR="00CC6F66">
        <w:rPr>
          <w:sz w:val="20"/>
          <w:szCs w:val="20"/>
          <w:lang w:val="uk-UA"/>
        </w:rPr>
        <w:t xml:space="preserve"> </w:t>
      </w:r>
      <w:r w:rsidR="00CC6F66" w:rsidRPr="00CC6F66">
        <w:rPr>
          <w:sz w:val="20"/>
          <w:szCs w:val="20"/>
          <w:lang w:val="uk-UA"/>
        </w:rPr>
        <w:t>Завдяки консолідації, два або більше банків</w:t>
      </w:r>
      <w:r w:rsidR="00CC6F66">
        <w:rPr>
          <w:sz w:val="20"/>
          <w:szCs w:val="20"/>
          <w:lang w:val="uk-UA"/>
        </w:rPr>
        <w:t xml:space="preserve"> </w:t>
      </w:r>
      <w:r w:rsidR="00CC6F66" w:rsidRPr="00CC6F66">
        <w:rPr>
          <w:sz w:val="20"/>
          <w:szCs w:val="20"/>
          <w:lang w:val="uk-UA"/>
        </w:rPr>
        <w:t>створюють нову спільну структуру, в якій</w:t>
      </w:r>
      <w:r w:rsidR="00CC6F66">
        <w:rPr>
          <w:sz w:val="20"/>
          <w:szCs w:val="20"/>
          <w:lang w:val="uk-UA"/>
        </w:rPr>
        <w:t xml:space="preserve"> </w:t>
      </w:r>
      <w:r w:rsidR="00CC6F66" w:rsidRPr="00CC6F66">
        <w:rPr>
          <w:sz w:val="20"/>
          <w:szCs w:val="20"/>
          <w:lang w:val="uk-UA"/>
        </w:rPr>
        <w:t>кожна організаційна одиниця повністю</w:t>
      </w:r>
      <w:r w:rsidR="00CC6F66">
        <w:rPr>
          <w:sz w:val="20"/>
          <w:szCs w:val="20"/>
          <w:lang w:val="uk-UA"/>
        </w:rPr>
        <w:t xml:space="preserve"> </w:t>
      </w:r>
      <w:r w:rsidR="00CC6F66" w:rsidRPr="00CC6F66">
        <w:rPr>
          <w:sz w:val="20"/>
          <w:szCs w:val="20"/>
          <w:lang w:val="uk-UA"/>
        </w:rPr>
        <w:t>інтегрується в нову юридичну особу.</w:t>
      </w:r>
      <w:r w:rsidR="00CC6F66">
        <w:rPr>
          <w:sz w:val="20"/>
          <w:szCs w:val="20"/>
          <w:lang w:val="uk-UA"/>
        </w:rPr>
        <w:t xml:space="preserve"> </w:t>
      </w:r>
      <w:r w:rsidR="00CC6F66" w:rsidRPr="00CC6F66">
        <w:rPr>
          <w:sz w:val="20"/>
          <w:szCs w:val="20"/>
          <w:lang w:val="uk-UA"/>
        </w:rPr>
        <w:t>Процес консолідації передбачає, що</w:t>
      </w:r>
      <w:r w:rsidR="00CC6F66">
        <w:rPr>
          <w:sz w:val="20"/>
          <w:szCs w:val="20"/>
          <w:lang w:val="uk-UA"/>
        </w:rPr>
        <w:t xml:space="preserve"> </w:t>
      </w:r>
      <w:r w:rsidR="00CC6F66" w:rsidRPr="00CC6F66">
        <w:rPr>
          <w:sz w:val="20"/>
          <w:szCs w:val="20"/>
          <w:lang w:val="uk-UA"/>
        </w:rPr>
        <w:t>придбана компанія передає всі свої акції,</w:t>
      </w:r>
      <w:r w:rsidR="00CC6F66">
        <w:rPr>
          <w:sz w:val="20"/>
          <w:szCs w:val="20"/>
          <w:lang w:val="uk-UA"/>
        </w:rPr>
        <w:t xml:space="preserve"> </w:t>
      </w:r>
      <w:r w:rsidR="00CC6F66" w:rsidRPr="00CC6F66">
        <w:rPr>
          <w:sz w:val="20"/>
          <w:szCs w:val="20"/>
          <w:lang w:val="uk-UA"/>
        </w:rPr>
        <w:t>активи і зобов'язання компанії</w:t>
      </w:r>
      <w:r w:rsidR="00CC6F66">
        <w:rPr>
          <w:sz w:val="20"/>
          <w:szCs w:val="20"/>
          <w:lang w:val="uk-UA"/>
        </w:rPr>
        <w:t xml:space="preserve">, що купує </w:t>
      </w:r>
      <w:r w:rsidR="00CC6F66" w:rsidRPr="00CC6F66">
        <w:rPr>
          <w:sz w:val="20"/>
          <w:szCs w:val="20"/>
          <w:lang w:val="uk-UA"/>
        </w:rPr>
        <w:t>за допомогою пайової участі або обміну грошей.</w:t>
      </w:r>
      <w:r w:rsidR="00CC6F66">
        <w:rPr>
          <w:sz w:val="20"/>
          <w:szCs w:val="20"/>
          <w:lang w:val="uk-UA"/>
        </w:rPr>
        <w:t xml:space="preserve"> </w:t>
      </w:r>
      <w:r w:rsidR="00CC6F66" w:rsidRPr="00CC6F66">
        <w:rPr>
          <w:sz w:val="20"/>
          <w:szCs w:val="20"/>
          <w:lang w:val="uk-UA"/>
        </w:rPr>
        <w:t>У свою чергу, придбання передбачає, що</w:t>
      </w:r>
      <w:r w:rsidR="00E80871">
        <w:rPr>
          <w:sz w:val="20"/>
          <w:szCs w:val="20"/>
          <w:lang w:val="uk-UA"/>
        </w:rPr>
        <w:t xml:space="preserve"> </w:t>
      </w:r>
      <w:r w:rsidR="00CC6F66" w:rsidRPr="00CC6F66">
        <w:rPr>
          <w:sz w:val="20"/>
          <w:szCs w:val="20"/>
          <w:lang w:val="uk-UA"/>
        </w:rPr>
        <w:t>банк ініціатор бере на себе відповідальність за</w:t>
      </w:r>
      <w:r w:rsidR="00CC6F66">
        <w:rPr>
          <w:sz w:val="20"/>
          <w:szCs w:val="20"/>
          <w:lang w:val="uk-UA"/>
        </w:rPr>
        <w:t xml:space="preserve"> </w:t>
      </w:r>
      <w:r w:rsidR="00CC6F66" w:rsidRPr="00CC6F66">
        <w:rPr>
          <w:sz w:val="20"/>
          <w:szCs w:val="20"/>
          <w:lang w:val="uk-UA"/>
        </w:rPr>
        <w:t>інші банки і об'єднує всі свої операції в</w:t>
      </w:r>
      <w:r w:rsidR="00CC6F66">
        <w:rPr>
          <w:sz w:val="20"/>
          <w:szCs w:val="20"/>
          <w:lang w:val="uk-UA"/>
        </w:rPr>
        <w:t xml:space="preserve"> </w:t>
      </w:r>
      <w:r w:rsidR="00CC6F66" w:rsidRPr="00CC6F66">
        <w:rPr>
          <w:sz w:val="20"/>
          <w:szCs w:val="20"/>
          <w:lang w:val="uk-UA"/>
        </w:rPr>
        <w:t xml:space="preserve">рамках єдиного нового альянсу. </w:t>
      </w:r>
    </w:p>
    <w:p w:rsidR="0044416F" w:rsidRPr="00717747" w:rsidRDefault="0044416F" w:rsidP="0044416F">
      <w:pPr>
        <w:spacing w:after="0" w:line="240" w:lineRule="auto"/>
        <w:ind w:firstLine="709"/>
        <w:jc w:val="both"/>
        <w:rPr>
          <w:sz w:val="20"/>
          <w:szCs w:val="20"/>
          <w:lang w:val="uk-UA"/>
        </w:rPr>
      </w:pPr>
      <w:r w:rsidRPr="00717747">
        <w:rPr>
          <w:sz w:val="20"/>
          <w:szCs w:val="20"/>
          <w:lang w:val="uk-UA"/>
        </w:rPr>
        <w:t>За останній час процес</w:t>
      </w:r>
      <w:r w:rsidR="00CC6F66">
        <w:rPr>
          <w:sz w:val="20"/>
          <w:szCs w:val="20"/>
          <w:lang w:val="uk-UA"/>
        </w:rPr>
        <w:t>и</w:t>
      </w:r>
      <w:r w:rsidRPr="00717747">
        <w:rPr>
          <w:sz w:val="20"/>
          <w:szCs w:val="20"/>
          <w:lang w:val="uk-UA"/>
        </w:rPr>
        <w:t xml:space="preserve"> консолідації в світовій </w:t>
      </w:r>
      <w:r w:rsidR="00CC6F66">
        <w:rPr>
          <w:sz w:val="20"/>
          <w:szCs w:val="20"/>
          <w:lang w:val="uk-UA"/>
        </w:rPr>
        <w:t>банківській сфері значно посилили</w:t>
      </w:r>
      <w:r w:rsidRPr="00717747">
        <w:rPr>
          <w:sz w:val="20"/>
          <w:szCs w:val="20"/>
          <w:lang w:val="uk-UA"/>
        </w:rPr>
        <w:t xml:space="preserve">ся. Експерти, проаналізувавши угоди по злиттю і </w:t>
      </w:r>
      <w:r w:rsidR="00D90F2F">
        <w:rPr>
          <w:sz w:val="20"/>
          <w:szCs w:val="20"/>
          <w:lang w:val="uk-UA"/>
        </w:rPr>
        <w:t xml:space="preserve">поглинанню, вчинені в кінці XX </w:t>
      </w:r>
      <w:r w:rsidR="00D90F2F">
        <w:rPr>
          <w:sz w:val="20"/>
          <w:szCs w:val="20"/>
          <w:lang w:val="uk-UA"/>
        </w:rPr>
        <w:sym w:font="Symbol" w:char="F02D"/>
      </w:r>
      <w:r w:rsidRPr="00717747">
        <w:rPr>
          <w:sz w:val="20"/>
          <w:szCs w:val="20"/>
          <w:lang w:val="uk-UA"/>
        </w:rPr>
        <w:t xml:space="preserve"> початку XXI ст., виділили три типи угод, характерних для основних світових банківських систем</w:t>
      </w:r>
      <w:r w:rsidR="0082109D">
        <w:rPr>
          <w:sz w:val="20"/>
          <w:szCs w:val="20"/>
          <w:lang w:val="uk-UA"/>
        </w:rPr>
        <w:t xml:space="preserve"> </w:t>
      </w:r>
      <w:r w:rsidR="0082109D" w:rsidRPr="0082109D">
        <w:rPr>
          <w:sz w:val="20"/>
          <w:szCs w:val="20"/>
        </w:rPr>
        <w:t>[4]</w:t>
      </w:r>
      <w:r w:rsidRPr="00717747">
        <w:rPr>
          <w:sz w:val="20"/>
          <w:szCs w:val="20"/>
          <w:lang w:val="uk-UA"/>
        </w:rPr>
        <w:t xml:space="preserve">. </w:t>
      </w:r>
    </w:p>
    <w:p w:rsidR="0044416F" w:rsidRPr="00717747" w:rsidRDefault="0044416F" w:rsidP="0044416F">
      <w:pPr>
        <w:spacing w:after="0" w:line="240" w:lineRule="auto"/>
        <w:ind w:firstLine="709"/>
        <w:jc w:val="both"/>
        <w:rPr>
          <w:sz w:val="20"/>
          <w:szCs w:val="20"/>
          <w:lang w:val="uk-UA"/>
        </w:rPr>
      </w:pPr>
      <w:r w:rsidRPr="00717747">
        <w:rPr>
          <w:sz w:val="20"/>
          <w:szCs w:val="20"/>
          <w:lang w:val="uk-UA"/>
        </w:rPr>
        <w:t>Угоди зі злиття і поглинання першого типу характеризуються, тим, що сприяють укрупнення окремих національних банківських одиниць за допомогою поглинання ними середніх і дрібних банків. Такі операції проводилися, як правило, всередині країни. У багатьох країнах угоди по злиттю і поглинанню здійснювалися з метою розвитку комерційних банків до рівня «</w:t>
      </w:r>
      <w:proofErr w:type="spellStart"/>
      <w:r w:rsidRPr="00717747">
        <w:rPr>
          <w:sz w:val="20"/>
          <w:szCs w:val="20"/>
          <w:lang w:val="uk-UA"/>
        </w:rPr>
        <w:t>too</w:t>
      </w:r>
      <w:proofErr w:type="spellEnd"/>
      <w:r w:rsidRPr="00717747">
        <w:rPr>
          <w:sz w:val="20"/>
          <w:szCs w:val="20"/>
          <w:lang w:val="uk-UA"/>
        </w:rPr>
        <w:t xml:space="preserve"> </w:t>
      </w:r>
      <w:proofErr w:type="spellStart"/>
      <w:r w:rsidRPr="00717747">
        <w:rPr>
          <w:sz w:val="20"/>
          <w:szCs w:val="20"/>
          <w:lang w:val="uk-UA"/>
        </w:rPr>
        <w:t>big</w:t>
      </w:r>
      <w:proofErr w:type="spellEnd"/>
      <w:r w:rsidRPr="00717747">
        <w:rPr>
          <w:sz w:val="20"/>
          <w:szCs w:val="20"/>
          <w:lang w:val="uk-UA"/>
        </w:rPr>
        <w:t xml:space="preserve"> </w:t>
      </w:r>
      <w:proofErr w:type="spellStart"/>
      <w:r w:rsidRPr="00717747">
        <w:rPr>
          <w:sz w:val="20"/>
          <w:szCs w:val="20"/>
          <w:lang w:val="uk-UA"/>
        </w:rPr>
        <w:t>to</w:t>
      </w:r>
      <w:proofErr w:type="spellEnd"/>
      <w:r w:rsidRPr="00717747">
        <w:rPr>
          <w:sz w:val="20"/>
          <w:szCs w:val="20"/>
          <w:lang w:val="uk-UA"/>
        </w:rPr>
        <w:t xml:space="preserve"> </w:t>
      </w:r>
      <w:proofErr w:type="spellStart"/>
      <w:r w:rsidRPr="00717747">
        <w:rPr>
          <w:sz w:val="20"/>
          <w:szCs w:val="20"/>
          <w:lang w:val="uk-UA"/>
        </w:rPr>
        <w:t>fail</w:t>
      </w:r>
      <w:proofErr w:type="spellEnd"/>
      <w:r w:rsidRPr="00717747">
        <w:rPr>
          <w:sz w:val="20"/>
          <w:szCs w:val="20"/>
          <w:lang w:val="uk-UA"/>
        </w:rPr>
        <w:t>».</w:t>
      </w:r>
    </w:p>
    <w:p w:rsidR="0044416F" w:rsidRPr="00717747" w:rsidRDefault="0044416F" w:rsidP="0044416F">
      <w:pPr>
        <w:spacing w:after="0" w:line="240" w:lineRule="auto"/>
        <w:ind w:firstLine="709"/>
        <w:jc w:val="both"/>
        <w:rPr>
          <w:sz w:val="20"/>
          <w:szCs w:val="20"/>
          <w:lang w:val="uk-UA"/>
        </w:rPr>
      </w:pPr>
      <w:r w:rsidRPr="00717747">
        <w:rPr>
          <w:sz w:val="20"/>
          <w:szCs w:val="20"/>
          <w:lang w:val="uk-UA"/>
        </w:rPr>
        <w:t xml:space="preserve">Угоди зі злиття і угодою другого типу </w:t>
      </w:r>
      <w:r w:rsidR="00D90F2F">
        <w:rPr>
          <w:sz w:val="20"/>
          <w:szCs w:val="20"/>
          <w:lang w:val="uk-UA"/>
        </w:rPr>
        <w:sym w:font="Symbol" w:char="F02D"/>
      </w:r>
      <w:r w:rsidRPr="00717747">
        <w:rPr>
          <w:sz w:val="20"/>
          <w:szCs w:val="20"/>
          <w:lang w:val="uk-UA"/>
        </w:rPr>
        <w:t xml:space="preserve"> міжнаціональні або трансатлантичні. Ці угоди, так само, як і угоди першого типу, спрямовані на збільшення, приріст і розвиток. Для європейських кредитних організацій особливо привабливим є фінансовий ринок США.</w:t>
      </w:r>
      <w:r w:rsidR="0082109D">
        <w:rPr>
          <w:sz w:val="20"/>
          <w:szCs w:val="20"/>
          <w:lang w:val="uk-UA"/>
        </w:rPr>
        <w:t xml:space="preserve"> </w:t>
      </w:r>
      <w:r w:rsidRPr="00717747">
        <w:rPr>
          <w:sz w:val="20"/>
          <w:szCs w:val="20"/>
          <w:lang w:val="uk-UA"/>
        </w:rPr>
        <w:t xml:space="preserve">Його прибутковість, обсяги і високий рівень фрагментації спонукають банки до нових угод M &amp; A. Наприклад, </w:t>
      </w:r>
      <w:proofErr w:type="spellStart"/>
      <w:r w:rsidRPr="00717747">
        <w:rPr>
          <w:sz w:val="20"/>
          <w:szCs w:val="20"/>
          <w:lang w:val="uk-UA"/>
        </w:rPr>
        <w:t>Royal</w:t>
      </w:r>
      <w:proofErr w:type="spellEnd"/>
      <w:r w:rsidRPr="00717747">
        <w:rPr>
          <w:sz w:val="20"/>
          <w:szCs w:val="20"/>
          <w:lang w:val="uk-UA"/>
        </w:rPr>
        <w:t xml:space="preserve"> </w:t>
      </w:r>
      <w:proofErr w:type="spellStart"/>
      <w:r w:rsidRPr="00717747">
        <w:rPr>
          <w:sz w:val="20"/>
          <w:szCs w:val="20"/>
          <w:lang w:val="uk-UA"/>
        </w:rPr>
        <w:t>Bank</w:t>
      </w:r>
      <w:proofErr w:type="spellEnd"/>
      <w:r w:rsidRPr="00717747">
        <w:rPr>
          <w:sz w:val="20"/>
          <w:szCs w:val="20"/>
          <w:lang w:val="uk-UA"/>
        </w:rPr>
        <w:t xml:space="preserve"> </w:t>
      </w:r>
      <w:proofErr w:type="spellStart"/>
      <w:r w:rsidRPr="00717747">
        <w:rPr>
          <w:sz w:val="20"/>
          <w:szCs w:val="20"/>
          <w:lang w:val="uk-UA"/>
        </w:rPr>
        <w:t>of</w:t>
      </w:r>
      <w:proofErr w:type="spellEnd"/>
      <w:r w:rsidRPr="00717747">
        <w:rPr>
          <w:sz w:val="20"/>
          <w:szCs w:val="20"/>
          <w:lang w:val="uk-UA"/>
        </w:rPr>
        <w:t xml:space="preserve"> </w:t>
      </w:r>
      <w:proofErr w:type="spellStart"/>
      <w:r w:rsidRPr="00717747">
        <w:rPr>
          <w:sz w:val="20"/>
          <w:szCs w:val="20"/>
          <w:lang w:val="uk-UA"/>
        </w:rPr>
        <w:t>Scotland</w:t>
      </w:r>
      <w:proofErr w:type="spellEnd"/>
      <w:r w:rsidRPr="00717747">
        <w:rPr>
          <w:sz w:val="20"/>
          <w:szCs w:val="20"/>
          <w:lang w:val="uk-UA"/>
        </w:rPr>
        <w:t xml:space="preserve"> в період 1988-2004 рр. здійснив 26 поглинань на території США, ставши п'ятим банком в с</w:t>
      </w:r>
      <w:r w:rsidR="0082109D">
        <w:rPr>
          <w:sz w:val="20"/>
          <w:szCs w:val="20"/>
          <w:lang w:val="uk-UA"/>
        </w:rPr>
        <w:t>віті за ринковою капіталізацією</w:t>
      </w:r>
      <w:r w:rsidRPr="00717747">
        <w:rPr>
          <w:sz w:val="20"/>
          <w:szCs w:val="20"/>
          <w:lang w:val="uk-UA"/>
        </w:rPr>
        <w:t xml:space="preserve"> [</w:t>
      </w:r>
      <w:r w:rsidR="0082109D">
        <w:rPr>
          <w:sz w:val="20"/>
          <w:szCs w:val="20"/>
          <w:lang w:val="uk-UA"/>
        </w:rPr>
        <w:t>2</w:t>
      </w:r>
      <w:r w:rsidRPr="00717747">
        <w:rPr>
          <w:sz w:val="20"/>
          <w:szCs w:val="20"/>
          <w:lang w:val="uk-UA"/>
        </w:rPr>
        <w:t>].</w:t>
      </w:r>
    </w:p>
    <w:p w:rsidR="0044416F" w:rsidRPr="00717747" w:rsidRDefault="0044416F" w:rsidP="0044416F">
      <w:pPr>
        <w:spacing w:after="0" w:line="240" w:lineRule="auto"/>
        <w:ind w:firstLine="709"/>
        <w:jc w:val="both"/>
        <w:rPr>
          <w:sz w:val="20"/>
          <w:szCs w:val="20"/>
          <w:lang w:val="uk-UA"/>
        </w:rPr>
      </w:pPr>
      <w:r w:rsidRPr="00717747">
        <w:rPr>
          <w:sz w:val="20"/>
          <w:szCs w:val="20"/>
          <w:lang w:val="uk-UA"/>
        </w:rPr>
        <w:t>Третій тип угод по злиттю почав виділятися серед загального числа угод порівняно недавно. Це угоди по злиттю і поглинанню, де одна зі сторін за допомогою укладення даної угоди уникає банкрутства. Механізми впливу на банки, близькі до руйнування, в кожній країні свої.</w:t>
      </w:r>
    </w:p>
    <w:p w:rsidR="009741BB" w:rsidRPr="009741BB" w:rsidRDefault="009741BB" w:rsidP="009741BB">
      <w:pPr>
        <w:spacing w:after="0" w:line="240" w:lineRule="auto"/>
        <w:ind w:firstLine="709"/>
        <w:jc w:val="both"/>
        <w:rPr>
          <w:sz w:val="20"/>
          <w:szCs w:val="20"/>
          <w:lang w:val="uk-UA"/>
        </w:rPr>
      </w:pPr>
      <w:proofErr w:type="spellStart"/>
      <w:r w:rsidRPr="009741BB">
        <w:rPr>
          <w:sz w:val="20"/>
          <w:szCs w:val="20"/>
          <w:lang w:val="uk-UA"/>
        </w:rPr>
        <w:t>Глобалізаційні</w:t>
      </w:r>
      <w:proofErr w:type="spellEnd"/>
      <w:r w:rsidRPr="009741BB">
        <w:rPr>
          <w:sz w:val="20"/>
          <w:szCs w:val="20"/>
          <w:lang w:val="uk-UA"/>
        </w:rPr>
        <w:t xml:space="preserve"> процеси у фінансовій сфері обумовлюють міждержавне переміщення банківських ресурсів і зростання питомої ваги іноземної складової в структурі банківського капіталу національних банківських систем (</w:t>
      </w:r>
      <w:r w:rsidR="00EF72E7">
        <w:rPr>
          <w:sz w:val="20"/>
          <w:szCs w:val="20"/>
          <w:lang w:val="uk-UA"/>
        </w:rPr>
        <w:t>т</w:t>
      </w:r>
      <w:r w:rsidRPr="009741BB">
        <w:rPr>
          <w:sz w:val="20"/>
          <w:szCs w:val="20"/>
          <w:lang w:val="uk-UA"/>
        </w:rPr>
        <w:t xml:space="preserve">абл. </w:t>
      </w:r>
      <w:r>
        <w:rPr>
          <w:sz w:val="20"/>
          <w:szCs w:val="20"/>
          <w:lang w:val="uk-UA"/>
        </w:rPr>
        <w:t>1</w:t>
      </w:r>
      <w:r w:rsidRPr="009741BB">
        <w:rPr>
          <w:sz w:val="20"/>
          <w:szCs w:val="20"/>
          <w:lang w:val="uk-UA"/>
        </w:rPr>
        <w:t>). Це, в свою чергу, впливає на формування конкурентного середовища, рівень фінансової стійкості та ефективності функціонування кожної окремо взятої банківської системи зокрема та</w:t>
      </w:r>
    </w:p>
    <w:p w:rsidR="009741BB" w:rsidRDefault="009741BB" w:rsidP="009741BB">
      <w:pPr>
        <w:spacing w:after="0" w:line="240" w:lineRule="auto"/>
        <w:jc w:val="both"/>
        <w:rPr>
          <w:sz w:val="20"/>
          <w:szCs w:val="20"/>
          <w:lang w:val="uk-UA"/>
        </w:rPr>
      </w:pPr>
      <w:r w:rsidRPr="009741BB">
        <w:rPr>
          <w:sz w:val="20"/>
          <w:szCs w:val="20"/>
          <w:lang w:val="uk-UA"/>
        </w:rPr>
        <w:t>світового фінансового сектора в цілому.</w:t>
      </w:r>
    </w:p>
    <w:p w:rsidR="009741BB" w:rsidRDefault="009741BB" w:rsidP="009741BB">
      <w:pPr>
        <w:spacing w:after="0" w:line="240" w:lineRule="auto"/>
        <w:jc w:val="right"/>
        <w:rPr>
          <w:sz w:val="20"/>
          <w:szCs w:val="20"/>
          <w:lang w:val="uk-UA"/>
        </w:rPr>
      </w:pPr>
      <w:r w:rsidRPr="009741BB">
        <w:rPr>
          <w:sz w:val="20"/>
          <w:szCs w:val="20"/>
          <w:lang w:val="uk-UA"/>
        </w:rPr>
        <w:t xml:space="preserve">Таблиця </w:t>
      </w:r>
      <w:r>
        <w:rPr>
          <w:sz w:val="20"/>
          <w:szCs w:val="20"/>
          <w:lang w:val="uk-UA"/>
        </w:rPr>
        <w:t>1</w:t>
      </w:r>
    </w:p>
    <w:p w:rsidR="009741BB" w:rsidRPr="008C6722" w:rsidRDefault="009741BB" w:rsidP="0082109D">
      <w:pPr>
        <w:spacing w:after="0" w:line="240" w:lineRule="auto"/>
        <w:ind w:firstLine="709"/>
        <w:jc w:val="center"/>
        <w:rPr>
          <w:sz w:val="20"/>
          <w:szCs w:val="20"/>
        </w:rPr>
      </w:pPr>
      <w:r w:rsidRPr="009741BB">
        <w:rPr>
          <w:sz w:val="20"/>
          <w:szCs w:val="20"/>
          <w:lang w:val="uk-UA"/>
        </w:rPr>
        <w:t>Іноземна присутність банків в розрізі регіонів світу</w:t>
      </w:r>
    </w:p>
    <w:tbl>
      <w:tblPr>
        <w:tblStyle w:val="a3"/>
        <w:tblW w:w="10003" w:type="dxa"/>
        <w:tblLayout w:type="fixed"/>
        <w:tblLook w:val="04A0" w:firstRow="1" w:lastRow="0" w:firstColumn="1" w:lastColumn="0" w:noHBand="0" w:noVBand="1"/>
      </w:tblPr>
      <w:tblGrid>
        <w:gridCol w:w="2093"/>
        <w:gridCol w:w="851"/>
        <w:gridCol w:w="1216"/>
        <w:gridCol w:w="910"/>
        <w:gridCol w:w="709"/>
        <w:gridCol w:w="1276"/>
        <w:gridCol w:w="964"/>
        <w:gridCol w:w="992"/>
        <w:gridCol w:w="992"/>
      </w:tblGrid>
      <w:tr w:rsidR="009741BB" w:rsidRPr="00AD06E0" w:rsidTr="00C2107A">
        <w:tc>
          <w:tcPr>
            <w:tcW w:w="2093" w:type="dxa"/>
            <w:vMerge w:val="restart"/>
            <w:vAlign w:val="center"/>
          </w:tcPr>
          <w:p w:rsidR="00C2107A" w:rsidRDefault="009741BB" w:rsidP="00C2107A">
            <w:pPr>
              <w:jc w:val="center"/>
              <w:rPr>
                <w:sz w:val="18"/>
                <w:szCs w:val="18"/>
                <w:lang w:val="uk-UA"/>
              </w:rPr>
            </w:pPr>
            <w:r w:rsidRPr="00AD06E0">
              <w:rPr>
                <w:sz w:val="18"/>
                <w:szCs w:val="18"/>
                <w:lang w:val="uk-UA"/>
              </w:rPr>
              <w:t xml:space="preserve">Регіони </w:t>
            </w:r>
          </w:p>
          <w:p w:rsidR="009741BB" w:rsidRPr="00AD06E0" w:rsidRDefault="009741BB" w:rsidP="00C2107A">
            <w:pPr>
              <w:jc w:val="center"/>
              <w:rPr>
                <w:sz w:val="18"/>
                <w:szCs w:val="18"/>
                <w:lang w:val="uk-UA"/>
              </w:rPr>
            </w:pPr>
            <w:r w:rsidRPr="00AD06E0">
              <w:rPr>
                <w:sz w:val="18"/>
                <w:szCs w:val="18"/>
                <w:lang w:val="uk-UA"/>
              </w:rPr>
              <w:t>(кількість країн)</w:t>
            </w:r>
          </w:p>
        </w:tc>
        <w:tc>
          <w:tcPr>
            <w:tcW w:w="2977" w:type="dxa"/>
            <w:gridSpan w:val="3"/>
          </w:tcPr>
          <w:p w:rsidR="009741BB" w:rsidRPr="00AD06E0" w:rsidRDefault="009741BB" w:rsidP="00AD06E0">
            <w:pPr>
              <w:jc w:val="center"/>
              <w:rPr>
                <w:sz w:val="18"/>
                <w:szCs w:val="18"/>
                <w:lang w:val="uk-UA"/>
              </w:rPr>
            </w:pPr>
            <w:r w:rsidRPr="00AD06E0">
              <w:rPr>
                <w:sz w:val="18"/>
                <w:szCs w:val="18"/>
                <w:lang w:val="uk-UA"/>
              </w:rPr>
              <w:t>1995</w:t>
            </w:r>
          </w:p>
        </w:tc>
        <w:tc>
          <w:tcPr>
            <w:tcW w:w="2949" w:type="dxa"/>
            <w:gridSpan w:val="3"/>
          </w:tcPr>
          <w:p w:rsidR="009741BB" w:rsidRPr="00AD06E0" w:rsidRDefault="009741BB" w:rsidP="00AD06E0">
            <w:pPr>
              <w:jc w:val="center"/>
              <w:rPr>
                <w:sz w:val="18"/>
                <w:szCs w:val="18"/>
                <w:lang w:val="uk-UA"/>
              </w:rPr>
            </w:pPr>
            <w:r w:rsidRPr="00AD06E0">
              <w:rPr>
                <w:sz w:val="18"/>
                <w:szCs w:val="18"/>
                <w:lang w:val="uk-UA"/>
              </w:rPr>
              <w:t>2017</w:t>
            </w:r>
          </w:p>
        </w:tc>
        <w:tc>
          <w:tcPr>
            <w:tcW w:w="1984" w:type="dxa"/>
            <w:gridSpan w:val="2"/>
          </w:tcPr>
          <w:p w:rsidR="009741BB" w:rsidRPr="00AD06E0" w:rsidRDefault="009741BB" w:rsidP="00E01922">
            <w:pPr>
              <w:jc w:val="center"/>
              <w:rPr>
                <w:sz w:val="18"/>
                <w:szCs w:val="18"/>
                <w:lang w:val="uk-UA"/>
              </w:rPr>
            </w:pPr>
            <w:r w:rsidRPr="00AD06E0">
              <w:rPr>
                <w:sz w:val="18"/>
                <w:szCs w:val="18"/>
                <w:lang w:val="uk-UA"/>
              </w:rPr>
              <w:t>Зміни</w:t>
            </w:r>
          </w:p>
        </w:tc>
      </w:tr>
      <w:tr w:rsidR="009741BB" w:rsidRPr="00AD06E0" w:rsidTr="00E01922">
        <w:tc>
          <w:tcPr>
            <w:tcW w:w="2093" w:type="dxa"/>
            <w:vMerge/>
          </w:tcPr>
          <w:p w:rsidR="009741BB" w:rsidRPr="00AD06E0" w:rsidRDefault="009741BB" w:rsidP="00AD06E0">
            <w:pPr>
              <w:jc w:val="center"/>
              <w:rPr>
                <w:sz w:val="18"/>
                <w:szCs w:val="18"/>
                <w:lang w:val="uk-UA"/>
              </w:rPr>
            </w:pPr>
          </w:p>
        </w:tc>
        <w:tc>
          <w:tcPr>
            <w:tcW w:w="851" w:type="dxa"/>
          </w:tcPr>
          <w:p w:rsidR="009741BB" w:rsidRPr="00AD06E0" w:rsidRDefault="009741BB" w:rsidP="00E01922">
            <w:pPr>
              <w:ind w:left="-108" w:right="-108"/>
              <w:jc w:val="center"/>
              <w:rPr>
                <w:sz w:val="18"/>
                <w:szCs w:val="18"/>
                <w:lang w:val="uk-UA"/>
              </w:rPr>
            </w:pPr>
            <w:r w:rsidRPr="00AD06E0">
              <w:rPr>
                <w:sz w:val="18"/>
                <w:szCs w:val="18"/>
                <w:lang w:val="uk-UA"/>
              </w:rPr>
              <w:t>Загальні активи банків (млрд. дол.)</w:t>
            </w:r>
          </w:p>
        </w:tc>
        <w:tc>
          <w:tcPr>
            <w:tcW w:w="1216" w:type="dxa"/>
          </w:tcPr>
          <w:p w:rsidR="009741BB" w:rsidRPr="00AD06E0" w:rsidRDefault="009741BB" w:rsidP="00E01922">
            <w:pPr>
              <w:ind w:left="-108" w:right="-108"/>
              <w:jc w:val="center"/>
              <w:rPr>
                <w:sz w:val="18"/>
                <w:szCs w:val="18"/>
                <w:lang w:val="uk-UA"/>
              </w:rPr>
            </w:pPr>
            <w:r w:rsidRPr="00AD06E0">
              <w:rPr>
                <w:sz w:val="18"/>
                <w:szCs w:val="18"/>
                <w:lang w:val="uk-UA"/>
              </w:rPr>
              <w:t xml:space="preserve">Загальні активи, контрольовані іноземним капіталом </w:t>
            </w:r>
            <w:r w:rsidR="00C2107A">
              <w:rPr>
                <w:sz w:val="18"/>
                <w:szCs w:val="18"/>
                <w:lang w:val="uk-UA"/>
              </w:rPr>
              <w:t>(млрд.</w:t>
            </w:r>
            <w:r w:rsidRPr="00AD06E0">
              <w:rPr>
                <w:sz w:val="18"/>
                <w:szCs w:val="18"/>
                <w:lang w:val="uk-UA"/>
              </w:rPr>
              <w:t xml:space="preserve"> дол.)</w:t>
            </w:r>
          </w:p>
        </w:tc>
        <w:tc>
          <w:tcPr>
            <w:tcW w:w="910" w:type="dxa"/>
          </w:tcPr>
          <w:p w:rsidR="009741BB" w:rsidRPr="00AD06E0" w:rsidRDefault="009741BB" w:rsidP="00E01922">
            <w:pPr>
              <w:ind w:left="-108" w:right="-108"/>
              <w:jc w:val="center"/>
              <w:rPr>
                <w:sz w:val="18"/>
                <w:szCs w:val="18"/>
                <w:lang w:val="uk-UA"/>
              </w:rPr>
            </w:pPr>
            <w:r w:rsidRPr="00AD06E0">
              <w:rPr>
                <w:sz w:val="18"/>
                <w:szCs w:val="18"/>
                <w:lang w:val="uk-UA"/>
              </w:rPr>
              <w:t>Загальна частка іноземних активів (%)</w:t>
            </w:r>
          </w:p>
        </w:tc>
        <w:tc>
          <w:tcPr>
            <w:tcW w:w="709" w:type="dxa"/>
          </w:tcPr>
          <w:p w:rsidR="009741BB" w:rsidRPr="00AD06E0" w:rsidRDefault="009741BB" w:rsidP="00E01922">
            <w:pPr>
              <w:ind w:left="-108" w:right="-108"/>
              <w:jc w:val="center"/>
              <w:rPr>
                <w:sz w:val="18"/>
                <w:szCs w:val="18"/>
                <w:lang w:val="uk-UA"/>
              </w:rPr>
            </w:pPr>
            <w:r w:rsidRPr="00AD06E0">
              <w:rPr>
                <w:sz w:val="18"/>
                <w:szCs w:val="18"/>
                <w:lang w:val="uk-UA"/>
              </w:rPr>
              <w:t>Загальні активи банків (млрд. дол.)</w:t>
            </w:r>
          </w:p>
        </w:tc>
        <w:tc>
          <w:tcPr>
            <w:tcW w:w="1276" w:type="dxa"/>
          </w:tcPr>
          <w:p w:rsidR="00C2107A" w:rsidRDefault="009741BB" w:rsidP="00E01922">
            <w:pPr>
              <w:ind w:left="-108" w:right="-108"/>
              <w:jc w:val="center"/>
              <w:rPr>
                <w:sz w:val="18"/>
                <w:szCs w:val="18"/>
                <w:lang w:val="uk-UA"/>
              </w:rPr>
            </w:pPr>
            <w:r w:rsidRPr="00AD06E0">
              <w:rPr>
                <w:sz w:val="18"/>
                <w:szCs w:val="18"/>
                <w:lang w:val="uk-UA"/>
              </w:rPr>
              <w:t>Загальні активи, контрольовані іноземним капіталом</w:t>
            </w:r>
          </w:p>
          <w:p w:rsidR="009741BB" w:rsidRPr="00AD06E0" w:rsidRDefault="009741BB" w:rsidP="00E01922">
            <w:pPr>
              <w:ind w:left="-108" w:right="-108"/>
              <w:jc w:val="center"/>
              <w:rPr>
                <w:sz w:val="18"/>
                <w:szCs w:val="18"/>
                <w:lang w:val="uk-UA"/>
              </w:rPr>
            </w:pPr>
            <w:r w:rsidRPr="00AD06E0">
              <w:rPr>
                <w:sz w:val="18"/>
                <w:szCs w:val="18"/>
                <w:lang w:val="uk-UA"/>
              </w:rPr>
              <w:t xml:space="preserve"> </w:t>
            </w:r>
            <w:r w:rsidR="00C2107A">
              <w:rPr>
                <w:sz w:val="18"/>
                <w:szCs w:val="18"/>
                <w:lang w:val="uk-UA"/>
              </w:rPr>
              <w:t>(млрд.</w:t>
            </w:r>
            <w:r w:rsidRPr="00AD06E0">
              <w:rPr>
                <w:sz w:val="18"/>
                <w:szCs w:val="18"/>
                <w:lang w:val="uk-UA"/>
              </w:rPr>
              <w:t xml:space="preserve"> дол.)</w:t>
            </w:r>
          </w:p>
        </w:tc>
        <w:tc>
          <w:tcPr>
            <w:tcW w:w="964" w:type="dxa"/>
          </w:tcPr>
          <w:p w:rsidR="009741BB" w:rsidRPr="00AD06E0" w:rsidRDefault="009741BB" w:rsidP="00E01922">
            <w:pPr>
              <w:ind w:left="-108" w:right="-108"/>
              <w:jc w:val="center"/>
              <w:rPr>
                <w:sz w:val="18"/>
                <w:szCs w:val="18"/>
                <w:lang w:val="uk-UA"/>
              </w:rPr>
            </w:pPr>
            <w:r w:rsidRPr="00AD06E0">
              <w:rPr>
                <w:sz w:val="18"/>
                <w:szCs w:val="18"/>
                <w:lang w:val="uk-UA"/>
              </w:rPr>
              <w:t>Загальна частка іноземних активів (%)</w:t>
            </w:r>
          </w:p>
        </w:tc>
        <w:tc>
          <w:tcPr>
            <w:tcW w:w="992" w:type="dxa"/>
          </w:tcPr>
          <w:p w:rsidR="00C2107A" w:rsidRDefault="009741BB" w:rsidP="00E01922">
            <w:pPr>
              <w:ind w:left="-108" w:right="-108"/>
              <w:jc w:val="center"/>
              <w:rPr>
                <w:sz w:val="18"/>
                <w:szCs w:val="18"/>
                <w:lang w:val="uk-UA"/>
              </w:rPr>
            </w:pPr>
            <w:r w:rsidRPr="00AD06E0">
              <w:rPr>
                <w:sz w:val="18"/>
                <w:szCs w:val="18"/>
                <w:lang w:val="uk-UA"/>
              </w:rPr>
              <w:t>У загальних активах банків</w:t>
            </w:r>
          </w:p>
          <w:p w:rsidR="009741BB" w:rsidRPr="00AD06E0" w:rsidRDefault="009741BB" w:rsidP="00E01922">
            <w:pPr>
              <w:ind w:left="-108" w:right="-108"/>
              <w:jc w:val="center"/>
              <w:rPr>
                <w:sz w:val="18"/>
                <w:szCs w:val="18"/>
                <w:lang w:val="uk-UA"/>
              </w:rPr>
            </w:pPr>
            <w:r w:rsidRPr="00AD06E0">
              <w:rPr>
                <w:sz w:val="18"/>
                <w:szCs w:val="18"/>
                <w:lang w:val="uk-UA"/>
              </w:rPr>
              <w:t xml:space="preserve"> (</w:t>
            </w:r>
            <w:r w:rsidR="00C2107A">
              <w:rPr>
                <w:sz w:val="18"/>
                <w:szCs w:val="18"/>
                <w:lang w:val="uk-UA"/>
              </w:rPr>
              <w:t>млрд.</w:t>
            </w:r>
            <w:r w:rsidRPr="00AD06E0">
              <w:rPr>
                <w:sz w:val="18"/>
                <w:szCs w:val="18"/>
                <w:lang w:val="uk-UA"/>
              </w:rPr>
              <w:t xml:space="preserve"> дол.)</w:t>
            </w:r>
          </w:p>
        </w:tc>
        <w:tc>
          <w:tcPr>
            <w:tcW w:w="992" w:type="dxa"/>
          </w:tcPr>
          <w:p w:rsidR="009741BB" w:rsidRPr="00AD06E0" w:rsidRDefault="009741BB" w:rsidP="00E01922">
            <w:pPr>
              <w:ind w:left="-108" w:right="-108"/>
              <w:jc w:val="center"/>
              <w:rPr>
                <w:sz w:val="18"/>
                <w:szCs w:val="18"/>
                <w:lang w:val="uk-UA"/>
              </w:rPr>
            </w:pPr>
            <w:r w:rsidRPr="00AD06E0">
              <w:rPr>
                <w:sz w:val="18"/>
                <w:szCs w:val="18"/>
                <w:lang w:val="uk-UA"/>
              </w:rPr>
              <w:t>У</w:t>
            </w:r>
            <w:r w:rsidR="00C2107A">
              <w:rPr>
                <w:sz w:val="18"/>
                <w:szCs w:val="18"/>
                <w:lang w:val="uk-UA"/>
              </w:rPr>
              <w:t xml:space="preserve"> </w:t>
            </w:r>
            <w:r w:rsidRPr="00AD06E0">
              <w:rPr>
                <w:sz w:val="18"/>
                <w:szCs w:val="18"/>
                <w:lang w:val="uk-UA"/>
              </w:rPr>
              <w:t>загальній частці іноземних активів (%)</w:t>
            </w:r>
          </w:p>
        </w:tc>
      </w:tr>
      <w:tr w:rsidR="00AD06E0" w:rsidRPr="00AD06E0" w:rsidTr="00E01922">
        <w:tc>
          <w:tcPr>
            <w:tcW w:w="2093" w:type="dxa"/>
          </w:tcPr>
          <w:p w:rsidR="009741BB" w:rsidRPr="00AD06E0" w:rsidRDefault="009741BB" w:rsidP="00E01922">
            <w:pPr>
              <w:ind w:right="-108"/>
              <w:rPr>
                <w:sz w:val="18"/>
                <w:szCs w:val="18"/>
                <w:lang w:val="uk-UA"/>
              </w:rPr>
            </w:pPr>
            <w:r w:rsidRPr="00AD06E0">
              <w:rPr>
                <w:sz w:val="18"/>
                <w:szCs w:val="18"/>
                <w:lang w:val="uk-UA"/>
              </w:rPr>
              <w:t>Північна Америка (2)</w:t>
            </w:r>
          </w:p>
        </w:tc>
        <w:tc>
          <w:tcPr>
            <w:tcW w:w="851" w:type="dxa"/>
          </w:tcPr>
          <w:p w:rsidR="009741BB" w:rsidRPr="00AD06E0" w:rsidRDefault="009741BB" w:rsidP="00AD06E0">
            <w:pPr>
              <w:jc w:val="center"/>
              <w:rPr>
                <w:sz w:val="18"/>
                <w:szCs w:val="18"/>
                <w:lang w:val="uk-UA"/>
              </w:rPr>
            </w:pPr>
            <w:r w:rsidRPr="00AD06E0">
              <w:rPr>
                <w:sz w:val="18"/>
                <w:szCs w:val="18"/>
                <w:lang w:val="uk-UA"/>
              </w:rPr>
              <w:t>4467</w:t>
            </w:r>
          </w:p>
        </w:tc>
        <w:tc>
          <w:tcPr>
            <w:tcW w:w="1216" w:type="dxa"/>
          </w:tcPr>
          <w:p w:rsidR="009741BB" w:rsidRPr="00AD06E0" w:rsidRDefault="009741BB" w:rsidP="00AD06E0">
            <w:pPr>
              <w:jc w:val="center"/>
              <w:rPr>
                <w:sz w:val="18"/>
                <w:szCs w:val="18"/>
                <w:lang w:val="uk-UA"/>
              </w:rPr>
            </w:pPr>
            <w:r w:rsidRPr="00AD06E0">
              <w:rPr>
                <w:sz w:val="18"/>
                <w:szCs w:val="18"/>
                <w:lang w:val="uk-UA"/>
              </w:rPr>
              <w:t>454</w:t>
            </w:r>
          </w:p>
        </w:tc>
        <w:tc>
          <w:tcPr>
            <w:tcW w:w="910" w:type="dxa"/>
          </w:tcPr>
          <w:p w:rsidR="009741BB" w:rsidRPr="00AD06E0" w:rsidRDefault="009741BB" w:rsidP="00AD06E0">
            <w:pPr>
              <w:jc w:val="center"/>
              <w:rPr>
                <w:sz w:val="18"/>
                <w:szCs w:val="18"/>
                <w:lang w:val="uk-UA"/>
              </w:rPr>
            </w:pPr>
            <w:r w:rsidRPr="00AD06E0">
              <w:rPr>
                <w:sz w:val="18"/>
                <w:szCs w:val="18"/>
                <w:lang w:val="uk-UA"/>
              </w:rPr>
              <w:t>10</w:t>
            </w:r>
          </w:p>
        </w:tc>
        <w:tc>
          <w:tcPr>
            <w:tcW w:w="709" w:type="dxa"/>
          </w:tcPr>
          <w:p w:rsidR="009741BB" w:rsidRPr="00AD06E0" w:rsidRDefault="009741BB" w:rsidP="00AD06E0">
            <w:pPr>
              <w:jc w:val="center"/>
              <w:rPr>
                <w:sz w:val="18"/>
                <w:szCs w:val="18"/>
                <w:lang w:val="uk-UA"/>
              </w:rPr>
            </w:pPr>
            <w:r w:rsidRPr="00AD06E0">
              <w:rPr>
                <w:sz w:val="18"/>
                <w:szCs w:val="18"/>
                <w:lang w:val="uk-UA"/>
              </w:rPr>
              <w:t>10242</w:t>
            </w:r>
          </w:p>
        </w:tc>
        <w:tc>
          <w:tcPr>
            <w:tcW w:w="1276" w:type="dxa"/>
          </w:tcPr>
          <w:p w:rsidR="009741BB" w:rsidRPr="00AD06E0" w:rsidRDefault="009741BB" w:rsidP="00AD06E0">
            <w:pPr>
              <w:jc w:val="center"/>
              <w:rPr>
                <w:sz w:val="18"/>
                <w:szCs w:val="18"/>
                <w:lang w:val="uk-UA"/>
              </w:rPr>
            </w:pPr>
            <w:r w:rsidRPr="00AD06E0">
              <w:rPr>
                <w:sz w:val="18"/>
                <w:szCs w:val="18"/>
                <w:lang w:val="uk-UA"/>
              </w:rPr>
              <w:t>2155</w:t>
            </w:r>
          </w:p>
        </w:tc>
        <w:tc>
          <w:tcPr>
            <w:tcW w:w="964" w:type="dxa"/>
          </w:tcPr>
          <w:p w:rsidR="009741BB" w:rsidRPr="00AD06E0" w:rsidRDefault="009741BB" w:rsidP="00AD06E0">
            <w:pPr>
              <w:jc w:val="center"/>
              <w:rPr>
                <w:sz w:val="18"/>
                <w:szCs w:val="18"/>
                <w:lang w:val="uk-UA"/>
              </w:rPr>
            </w:pPr>
            <w:r w:rsidRPr="00AD06E0">
              <w:rPr>
                <w:sz w:val="18"/>
                <w:szCs w:val="18"/>
                <w:lang w:val="uk-UA"/>
              </w:rPr>
              <w:t>21</w:t>
            </w:r>
          </w:p>
        </w:tc>
        <w:tc>
          <w:tcPr>
            <w:tcW w:w="992" w:type="dxa"/>
          </w:tcPr>
          <w:p w:rsidR="009741BB" w:rsidRPr="00AD06E0" w:rsidRDefault="009741BB" w:rsidP="00AD06E0">
            <w:pPr>
              <w:jc w:val="center"/>
              <w:rPr>
                <w:sz w:val="18"/>
                <w:szCs w:val="18"/>
                <w:lang w:val="uk-UA"/>
              </w:rPr>
            </w:pPr>
            <w:r w:rsidRPr="00AD06E0">
              <w:rPr>
                <w:sz w:val="18"/>
                <w:szCs w:val="18"/>
                <w:lang w:val="uk-UA"/>
              </w:rPr>
              <w:t>1701</w:t>
            </w:r>
          </w:p>
        </w:tc>
        <w:tc>
          <w:tcPr>
            <w:tcW w:w="992" w:type="dxa"/>
          </w:tcPr>
          <w:p w:rsidR="009741BB" w:rsidRPr="00AD06E0" w:rsidRDefault="009741BB" w:rsidP="00AD06E0">
            <w:pPr>
              <w:jc w:val="center"/>
              <w:rPr>
                <w:sz w:val="18"/>
                <w:szCs w:val="18"/>
                <w:lang w:val="uk-UA"/>
              </w:rPr>
            </w:pPr>
            <w:r w:rsidRPr="00AD06E0">
              <w:rPr>
                <w:sz w:val="18"/>
                <w:szCs w:val="18"/>
                <w:lang w:val="uk-UA"/>
              </w:rPr>
              <w:t>11</w:t>
            </w:r>
          </w:p>
        </w:tc>
      </w:tr>
      <w:tr w:rsidR="00AD06E0" w:rsidRPr="00AD06E0" w:rsidTr="00E01922">
        <w:tc>
          <w:tcPr>
            <w:tcW w:w="2093" w:type="dxa"/>
          </w:tcPr>
          <w:p w:rsidR="009741BB" w:rsidRPr="00AD06E0" w:rsidRDefault="009741BB" w:rsidP="00E01922">
            <w:pPr>
              <w:ind w:right="-108"/>
              <w:rPr>
                <w:sz w:val="18"/>
                <w:szCs w:val="18"/>
                <w:lang w:val="uk-UA"/>
              </w:rPr>
            </w:pPr>
            <w:r w:rsidRPr="00AD06E0">
              <w:rPr>
                <w:sz w:val="18"/>
                <w:szCs w:val="18"/>
                <w:lang w:val="uk-UA"/>
              </w:rPr>
              <w:t>Західна Європа (19)</w:t>
            </w:r>
          </w:p>
        </w:tc>
        <w:tc>
          <w:tcPr>
            <w:tcW w:w="851" w:type="dxa"/>
          </w:tcPr>
          <w:p w:rsidR="009741BB" w:rsidRPr="00AD06E0" w:rsidRDefault="009741BB" w:rsidP="00AD06E0">
            <w:pPr>
              <w:jc w:val="center"/>
              <w:rPr>
                <w:sz w:val="18"/>
                <w:szCs w:val="18"/>
                <w:lang w:val="uk-UA"/>
              </w:rPr>
            </w:pPr>
            <w:r w:rsidRPr="00AD06E0">
              <w:rPr>
                <w:sz w:val="18"/>
                <w:szCs w:val="18"/>
                <w:lang w:val="uk-UA"/>
              </w:rPr>
              <w:t>16320</w:t>
            </w:r>
          </w:p>
        </w:tc>
        <w:tc>
          <w:tcPr>
            <w:tcW w:w="1216" w:type="dxa"/>
          </w:tcPr>
          <w:p w:rsidR="009741BB" w:rsidRPr="00AD06E0" w:rsidRDefault="009741BB" w:rsidP="00AD06E0">
            <w:pPr>
              <w:jc w:val="center"/>
              <w:rPr>
                <w:sz w:val="18"/>
                <w:szCs w:val="18"/>
                <w:lang w:val="uk-UA"/>
              </w:rPr>
            </w:pPr>
            <w:r w:rsidRPr="00AD06E0">
              <w:rPr>
                <w:sz w:val="18"/>
                <w:szCs w:val="18"/>
                <w:lang w:val="uk-UA"/>
              </w:rPr>
              <w:t>3755</w:t>
            </w:r>
          </w:p>
        </w:tc>
        <w:tc>
          <w:tcPr>
            <w:tcW w:w="910" w:type="dxa"/>
          </w:tcPr>
          <w:p w:rsidR="009741BB" w:rsidRPr="00AD06E0" w:rsidRDefault="009741BB" w:rsidP="00AD06E0">
            <w:pPr>
              <w:jc w:val="center"/>
              <w:rPr>
                <w:sz w:val="18"/>
                <w:szCs w:val="18"/>
                <w:lang w:val="uk-UA"/>
              </w:rPr>
            </w:pPr>
            <w:r w:rsidRPr="00AD06E0">
              <w:rPr>
                <w:sz w:val="18"/>
                <w:szCs w:val="18"/>
                <w:lang w:val="uk-UA"/>
              </w:rPr>
              <w:t>23</w:t>
            </w:r>
          </w:p>
        </w:tc>
        <w:tc>
          <w:tcPr>
            <w:tcW w:w="709" w:type="dxa"/>
          </w:tcPr>
          <w:p w:rsidR="009741BB" w:rsidRPr="00AD06E0" w:rsidRDefault="009741BB" w:rsidP="00AD06E0">
            <w:pPr>
              <w:jc w:val="center"/>
              <w:rPr>
                <w:sz w:val="18"/>
                <w:szCs w:val="18"/>
                <w:lang w:val="uk-UA"/>
              </w:rPr>
            </w:pPr>
            <w:r w:rsidRPr="00AD06E0">
              <w:rPr>
                <w:sz w:val="18"/>
                <w:szCs w:val="18"/>
                <w:lang w:val="uk-UA"/>
              </w:rPr>
              <w:t>31797</w:t>
            </w:r>
          </w:p>
        </w:tc>
        <w:tc>
          <w:tcPr>
            <w:tcW w:w="1276" w:type="dxa"/>
          </w:tcPr>
          <w:p w:rsidR="009741BB" w:rsidRPr="00AD06E0" w:rsidRDefault="009741BB" w:rsidP="00AD06E0">
            <w:pPr>
              <w:jc w:val="center"/>
              <w:rPr>
                <w:sz w:val="18"/>
                <w:szCs w:val="18"/>
                <w:lang w:val="uk-UA"/>
              </w:rPr>
            </w:pPr>
            <w:r w:rsidRPr="00AD06E0">
              <w:rPr>
                <w:sz w:val="18"/>
                <w:szCs w:val="18"/>
                <w:lang w:val="uk-UA"/>
              </w:rPr>
              <w:t>9142</w:t>
            </w:r>
          </w:p>
        </w:tc>
        <w:tc>
          <w:tcPr>
            <w:tcW w:w="964" w:type="dxa"/>
          </w:tcPr>
          <w:p w:rsidR="009741BB" w:rsidRPr="00AD06E0" w:rsidRDefault="009741BB" w:rsidP="00AD06E0">
            <w:pPr>
              <w:jc w:val="center"/>
              <w:rPr>
                <w:sz w:val="18"/>
                <w:szCs w:val="18"/>
                <w:lang w:val="uk-UA"/>
              </w:rPr>
            </w:pPr>
            <w:r w:rsidRPr="00AD06E0">
              <w:rPr>
                <w:sz w:val="18"/>
                <w:szCs w:val="18"/>
                <w:lang w:val="uk-UA"/>
              </w:rPr>
              <w:t>29</w:t>
            </w:r>
          </w:p>
        </w:tc>
        <w:tc>
          <w:tcPr>
            <w:tcW w:w="992" w:type="dxa"/>
          </w:tcPr>
          <w:p w:rsidR="009741BB" w:rsidRPr="00AD06E0" w:rsidRDefault="009741BB" w:rsidP="00AD06E0">
            <w:pPr>
              <w:jc w:val="center"/>
              <w:rPr>
                <w:sz w:val="18"/>
                <w:szCs w:val="18"/>
                <w:lang w:val="uk-UA"/>
              </w:rPr>
            </w:pPr>
            <w:r w:rsidRPr="00AD06E0">
              <w:rPr>
                <w:sz w:val="18"/>
                <w:szCs w:val="18"/>
                <w:lang w:val="uk-UA"/>
              </w:rPr>
              <w:t>5387</w:t>
            </w:r>
          </w:p>
        </w:tc>
        <w:tc>
          <w:tcPr>
            <w:tcW w:w="992" w:type="dxa"/>
          </w:tcPr>
          <w:p w:rsidR="009741BB" w:rsidRPr="00AD06E0" w:rsidRDefault="009741BB" w:rsidP="00AD06E0">
            <w:pPr>
              <w:jc w:val="center"/>
              <w:rPr>
                <w:sz w:val="18"/>
                <w:szCs w:val="18"/>
                <w:lang w:val="uk-UA"/>
              </w:rPr>
            </w:pPr>
            <w:r w:rsidRPr="00AD06E0">
              <w:rPr>
                <w:sz w:val="18"/>
                <w:szCs w:val="18"/>
                <w:lang w:val="uk-UA"/>
              </w:rPr>
              <w:t>6</w:t>
            </w:r>
          </w:p>
        </w:tc>
      </w:tr>
      <w:tr w:rsidR="00AD06E0" w:rsidRPr="00AD06E0" w:rsidTr="00E01922">
        <w:tc>
          <w:tcPr>
            <w:tcW w:w="2093" w:type="dxa"/>
          </w:tcPr>
          <w:p w:rsidR="009741BB" w:rsidRPr="00AD06E0" w:rsidRDefault="009741BB" w:rsidP="00E01922">
            <w:pPr>
              <w:ind w:right="-108"/>
              <w:rPr>
                <w:sz w:val="18"/>
                <w:szCs w:val="18"/>
                <w:lang w:val="uk-UA"/>
              </w:rPr>
            </w:pPr>
            <w:r w:rsidRPr="00AD06E0">
              <w:rPr>
                <w:sz w:val="18"/>
                <w:szCs w:val="18"/>
                <w:lang w:val="uk-UA"/>
              </w:rPr>
              <w:t xml:space="preserve">Східна Європа (17) </w:t>
            </w:r>
          </w:p>
        </w:tc>
        <w:tc>
          <w:tcPr>
            <w:tcW w:w="851" w:type="dxa"/>
          </w:tcPr>
          <w:p w:rsidR="009741BB" w:rsidRPr="00AD06E0" w:rsidRDefault="009741BB" w:rsidP="00AD06E0">
            <w:pPr>
              <w:jc w:val="center"/>
              <w:rPr>
                <w:sz w:val="18"/>
                <w:szCs w:val="18"/>
                <w:lang w:val="uk-UA"/>
              </w:rPr>
            </w:pPr>
            <w:r w:rsidRPr="00AD06E0">
              <w:rPr>
                <w:sz w:val="18"/>
                <w:szCs w:val="18"/>
                <w:lang w:val="uk-UA"/>
              </w:rPr>
              <w:t>319</w:t>
            </w:r>
          </w:p>
        </w:tc>
        <w:tc>
          <w:tcPr>
            <w:tcW w:w="1216" w:type="dxa"/>
          </w:tcPr>
          <w:p w:rsidR="009741BB" w:rsidRPr="00AD06E0" w:rsidRDefault="009741BB" w:rsidP="00AD06E0">
            <w:pPr>
              <w:jc w:val="center"/>
              <w:rPr>
                <w:sz w:val="18"/>
                <w:szCs w:val="18"/>
                <w:lang w:val="uk-UA"/>
              </w:rPr>
            </w:pPr>
            <w:r w:rsidRPr="00AD06E0">
              <w:rPr>
                <w:sz w:val="18"/>
                <w:szCs w:val="18"/>
                <w:lang w:val="uk-UA"/>
              </w:rPr>
              <w:t>80</w:t>
            </w:r>
          </w:p>
        </w:tc>
        <w:tc>
          <w:tcPr>
            <w:tcW w:w="910" w:type="dxa"/>
          </w:tcPr>
          <w:p w:rsidR="009741BB" w:rsidRPr="00AD06E0" w:rsidRDefault="009741BB" w:rsidP="00AD06E0">
            <w:pPr>
              <w:jc w:val="center"/>
              <w:rPr>
                <w:sz w:val="18"/>
                <w:szCs w:val="18"/>
                <w:lang w:val="uk-UA"/>
              </w:rPr>
            </w:pPr>
            <w:r w:rsidRPr="00AD06E0">
              <w:rPr>
                <w:sz w:val="18"/>
                <w:szCs w:val="18"/>
                <w:lang w:val="uk-UA"/>
              </w:rPr>
              <w:t>25</w:t>
            </w:r>
          </w:p>
        </w:tc>
        <w:tc>
          <w:tcPr>
            <w:tcW w:w="709" w:type="dxa"/>
          </w:tcPr>
          <w:p w:rsidR="009741BB" w:rsidRPr="00AD06E0" w:rsidRDefault="009741BB" w:rsidP="00AD06E0">
            <w:pPr>
              <w:jc w:val="center"/>
              <w:rPr>
                <w:sz w:val="18"/>
                <w:szCs w:val="18"/>
                <w:lang w:val="uk-UA"/>
              </w:rPr>
            </w:pPr>
            <w:r w:rsidRPr="00AD06E0">
              <w:rPr>
                <w:sz w:val="18"/>
                <w:szCs w:val="18"/>
                <w:lang w:val="uk-UA"/>
              </w:rPr>
              <w:t>632</w:t>
            </w:r>
          </w:p>
        </w:tc>
        <w:tc>
          <w:tcPr>
            <w:tcW w:w="1276" w:type="dxa"/>
          </w:tcPr>
          <w:p w:rsidR="009741BB" w:rsidRPr="00AD06E0" w:rsidRDefault="009741BB" w:rsidP="00AD06E0">
            <w:pPr>
              <w:jc w:val="center"/>
              <w:rPr>
                <w:sz w:val="18"/>
                <w:szCs w:val="18"/>
                <w:lang w:val="uk-UA"/>
              </w:rPr>
            </w:pPr>
            <w:r w:rsidRPr="00AD06E0">
              <w:rPr>
                <w:sz w:val="18"/>
                <w:szCs w:val="18"/>
                <w:lang w:val="uk-UA"/>
              </w:rPr>
              <w:t>369</w:t>
            </w:r>
          </w:p>
        </w:tc>
        <w:tc>
          <w:tcPr>
            <w:tcW w:w="964" w:type="dxa"/>
          </w:tcPr>
          <w:p w:rsidR="009741BB" w:rsidRPr="00AD06E0" w:rsidRDefault="009741BB" w:rsidP="00AD06E0">
            <w:pPr>
              <w:jc w:val="center"/>
              <w:rPr>
                <w:sz w:val="18"/>
                <w:szCs w:val="18"/>
                <w:lang w:val="uk-UA"/>
              </w:rPr>
            </w:pPr>
            <w:r w:rsidRPr="00AD06E0">
              <w:rPr>
                <w:sz w:val="18"/>
                <w:szCs w:val="18"/>
                <w:lang w:val="uk-UA"/>
              </w:rPr>
              <w:t>58</w:t>
            </w:r>
          </w:p>
        </w:tc>
        <w:tc>
          <w:tcPr>
            <w:tcW w:w="992" w:type="dxa"/>
          </w:tcPr>
          <w:p w:rsidR="009741BB" w:rsidRPr="00AD06E0" w:rsidRDefault="009741BB" w:rsidP="00AD06E0">
            <w:pPr>
              <w:jc w:val="center"/>
              <w:rPr>
                <w:sz w:val="18"/>
                <w:szCs w:val="18"/>
                <w:lang w:val="uk-UA"/>
              </w:rPr>
            </w:pPr>
            <w:r w:rsidRPr="00AD06E0">
              <w:rPr>
                <w:sz w:val="18"/>
                <w:szCs w:val="18"/>
                <w:lang w:val="uk-UA"/>
              </w:rPr>
              <w:t>289</w:t>
            </w:r>
          </w:p>
        </w:tc>
        <w:tc>
          <w:tcPr>
            <w:tcW w:w="992" w:type="dxa"/>
          </w:tcPr>
          <w:p w:rsidR="009741BB" w:rsidRPr="00AD06E0" w:rsidRDefault="009741BB" w:rsidP="00AD06E0">
            <w:pPr>
              <w:jc w:val="center"/>
              <w:rPr>
                <w:sz w:val="18"/>
                <w:szCs w:val="18"/>
                <w:lang w:val="uk-UA"/>
              </w:rPr>
            </w:pPr>
            <w:r w:rsidRPr="00AD06E0">
              <w:rPr>
                <w:sz w:val="18"/>
                <w:szCs w:val="18"/>
                <w:lang w:val="uk-UA"/>
              </w:rPr>
              <w:t>33</w:t>
            </w:r>
          </w:p>
        </w:tc>
      </w:tr>
      <w:tr w:rsidR="00AD06E0" w:rsidRPr="00AD06E0" w:rsidTr="00E01922">
        <w:tc>
          <w:tcPr>
            <w:tcW w:w="2093" w:type="dxa"/>
          </w:tcPr>
          <w:p w:rsidR="009741BB" w:rsidRPr="00AD06E0" w:rsidRDefault="009741BB" w:rsidP="00E01922">
            <w:pPr>
              <w:ind w:right="-108"/>
              <w:rPr>
                <w:sz w:val="18"/>
                <w:szCs w:val="18"/>
                <w:lang w:val="uk-UA"/>
              </w:rPr>
            </w:pPr>
            <w:r w:rsidRPr="00AD06E0">
              <w:rPr>
                <w:sz w:val="18"/>
                <w:szCs w:val="18"/>
                <w:lang w:val="uk-UA"/>
              </w:rPr>
              <w:t>Латинс</w:t>
            </w:r>
            <w:r w:rsidR="00E01922">
              <w:rPr>
                <w:sz w:val="18"/>
                <w:szCs w:val="18"/>
                <w:lang w:val="uk-UA"/>
              </w:rPr>
              <w:t>ь</w:t>
            </w:r>
            <w:r w:rsidRPr="00AD06E0">
              <w:rPr>
                <w:sz w:val="18"/>
                <w:szCs w:val="18"/>
                <w:lang w:val="uk-UA"/>
              </w:rPr>
              <w:t xml:space="preserve">ка Америка (14) </w:t>
            </w:r>
          </w:p>
        </w:tc>
        <w:tc>
          <w:tcPr>
            <w:tcW w:w="851" w:type="dxa"/>
          </w:tcPr>
          <w:p w:rsidR="009741BB" w:rsidRPr="00AD06E0" w:rsidRDefault="009741BB" w:rsidP="00AD06E0">
            <w:pPr>
              <w:jc w:val="center"/>
              <w:rPr>
                <w:sz w:val="18"/>
                <w:szCs w:val="18"/>
                <w:lang w:val="uk-UA"/>
              </w:rPr>
            </w:pPr>
            <w:r w:rsidRPr="00AD06E0">
              <w:rPr>
                <w:sz w:val="18"/>
                <w:szCs w:val="18"/>
                <w:lang w:val="uk-UA"/>
              </w:rPr>
              <w:t>591</w:t>
            </w:r>
          </w:p>
        </w:tc>
        <w:tc>
          <w:tcPr>
            <w:tcW w:w="1216" w:type="dxa"/>
          </w:tcPr>
          <w:p w:rsidR="009741BB" w:rsidRPr="00AD06E0" w:rsidRDefault="009741BB" w:rsidP="00AD06E0">
            <w:pPr>
              <w:jc w:val="center"/>
              <w:rPr>
                <w:sz w:val="18"/>
                <w:szCs w:val="18"/>
                <w:lang w:val="uk-UA"/>
              </w:rPr>
            </w:pPr>
            <w:r w:rsidRPr="00AD06E0">
              <w:rPr>
                <w:sz w:val="18"/>
                <w:szCs w:val="18"/>
                <w:lang w:val="uk-UA"/>
              </w:rPr>
              <w:t>108</w:t>
            </w:r>
          </w:p>
        </w:tc>
        <w:tc>
          <w:tcPr>
            <w:tcW w:w="910" w:type="dxa"/>
          </w:tcPr>
          <w:p w:rsidR="009741BB" w:rsidRPr="00AD06E0" w:rsidRDefault="009741BB" w:rsidP="00AD06E0">
            <w:pPr>
              <w:jc w:val="center"/>
              <w:rPr>
                <w:sz w:val="18"/>
                <w:szCs w:val="18"/>
                <w:lang w:val="uk-UA"/>
              </w:rPr>
            </w:pPr>
            <w:r w:rsidRPr="00AD06E0">
              <w:rPr>
                <w:sz w:val="18"/>
                <w:szCs w:val="18"/>
                <w:lang w:val="uk-UA"/>
              </w:rPr>
              <w:t>18</w:t>
            </w:r>
          </w:p>
        </w:tc>
        <w:tc>
          <w:tcPr>
            <w:tcW w:w="709" w:type="dxa"/>
          </w:tcPr>
          <w:p w:rsidR="009741BB" w:rsidRPr="00AD06E0" w:rsidRDefault="009741BB" w:rsidP="00AD06E0">
            <w:pPr>
              <w:jc w:val="center"/>
              <w:rPr>
                <w:sz w:val="18"/>
                <w:szCs w:val="18"/>
                <w:lang w:val="uk-UA"/>
              </w:rPr>
            </w:pPr>
            <w:r w:rsidRPr="00AD06E0">
              <w:rPr>
                <w:sz w:val="18"/>
                <w:szCs w:val="18"/>
                <w:lang w:val="uk-UA"/>
              </w:rPr>
              <w:t>1032</w:t>
            </w:r>
          </w:p>
        </w:tc>
        <w:tc>
          <w:tcPr>
            <w:tcW w:w="1276" w:type="dxa"/>
          </w:tcPr>
          <w:p w:rsidR="009741BB" w:rsidRPr="00AD06E0" w:rsidRDefault="009741BB" w:rsidP="00AD06E0">
            <w:pPr>
              <w:jc w:val="center"/>
              <w:rPr>
                <w:sz w:val="18"/>
                <w:szCs w:val="18"/>
                <w:lang w:val="uk-UA"/>
              </w:rPr>
            </w:pPr>
            <w:r w:rsidRPr="00AD06E0">
              <w:rPr>
                <w:sz w:val="18"/>
                <w:szCs w:val="18"/>
                <w:lang w:val="uk-UA"/>
              </w:rPr>
              <w:t>392</w:t>
            </w:r>
          </w:p>
        </w:tc>
        <w:tc>
          <w:tcPr>
            <w:tcW w:w="964" w:type="dxa"/>
          </w:tcPr>
          <w:p w:rsidR="009741BB" w:rsidRPr="00AD06E0" w:rsidRDefault="009741BB" w:rsidP="00AD06E0">
            <w:pPr>
              <w:jc w:val="center"/>
              <w:rPr>
                <w:sz w:val="18"/>
                <w:szCs w:val="18"/>
                <w:lang w:val="uk-UA"/>
              </w:rPr>
            </w:pPr>
            <w:r w:rsidRPr="00AD06E0">
              <w:rPr>
                <w:sz w:val="18"/>
                <w:szCs w:val="18"/>
                <w:lang w:val="uk-UA"/>
              </w:rPr>
              <w:t>28</w:t>
            </w:r>
          </w:p>
        </w:tc>
        <w:tc>
          <w:tcPr>
            <w:tcW w:w="992" w:type="dxa"/>
          </w:tcPr>
          <w:p w:rsidR="009741BB" w:rsidRPr="00AD06E0" w:rsidRDefault="009741BB" w:rsidP="00AD06E0">
            <w:pPr>
              <w:jc w:val="center"/>
              <w:rPr>
                <w:sz w:val="18"/>
                <w:szCs w:val="18"/>
                <w:lang w:val="uk-UA"/>
              </w:rPr>
            </w:pPr>
            <w:r w:rsidRPr="00AD06E0">
              <w:rPr>
                <w:sz w:val="18"/>
                <w:szCs w:val="18"/>
                <w:lang w:val="uk-UA"/>
              </w:rPr>
              <w:t>284</w:t>
            </w:r>
          </w:p>
        </w:tc>
        <w:tc>
          <w:tcPr>
            <w:tcW w:w="992" w:type="dxa"/>
          </w:tcPr>
          <w:p w:rsidR="009741BB" w:rsidRPr="00AD06E0" w:rsidRDefault="009741BB" w:rsidP="00AD06E0">
            <w:pPr>
              <w:jc w:val="center"/>
              <w:rPr>
                <w:sz w:val="18"/>
                <w:szCs w:val="18"/>
                <w:lang w:val="uk-UA"/>
              </w:rPr>
            </w:pPr>
            <w:r w:rsidRPr="00AD06E0">
              <w:rPr>
                <w:sz w:val="18"/>
                <w:szCs w:val="18"/>
                <w:lang w:val="uk-UA"/>
              </w:rPr>
              <w:t>20</w:t>
            </w:r>
          </w:p>
        </w:tc>
      </w:tr>
      <w:tr w:rsidR="00AD06E0" w:rsidRPr="00AD06E0" w:rsidTr="00E01922">
        <w:tc>
          <w:tcPr>
            <w:tcW w:w="2093" w:type="dxa"/>
          </w:tcPr>
          <w:p w:rsidR="009741BB" w:rsidRPr="00AD06E0" w:rsidRDefault="00AD06E0" w:rsidP="00E01922">
            <w:pPr>
              <w:ind w:right="-108"/>
              <w:rPr>
                <w:sz w:val="18"/>
                <w:szCs w:val="18"/>
                <w:lang w:val="uk-UA"/>
              </w:rPr>
            </w:pPr>
            <w:r w:rsidRPr="00AD06E0">
              <w:rPr>
                <w:sz w:val="18"/>
                <w:szCs w:val="18"/>
                <w:lang w:val="uk-UA"/>
              </w:rPr>
              <w:t xml:space="preserve">Африка (25) </w:t>
            </w:r>
          </w:p>
        </w:tc>
        <w:tc>
          <w:tcPr>
            <w:tcW w:w="851" w:type="dxa"/>
          </w:tcPr>
          <w:p w:rsidR="009741BB" w:rsidRPr="00AD06E0" w:rsidRDefault="00AD06E0" w:rsidP="00AD06E0">
            <w:pPr>
              <w:jc w:val="center"/>
              <w:rPr>
                <w:sz w:val="18"/>
                <w:szCs w:val="18"/>
                <w:lang w:val="uk-UA"/>
              </w:rPr>
            </w:pPr>
            <w:r w:rsidRPr="00AD06E0">
              <w:rPr>
                <w:sz w:val="18"/>
                <w:szCs w:val="18"/>
                <w:lang w:val="uk-UA"/>
              </w:rPr>
              <w:t>154</w:t>
            </w:r>
          </w:p>
        </w:tc>
        <w:tc>
          <w:tcPr>
            <w:tcW w:w="1216" w:type="dxa"/>
          </w:tcPr>
          <w:p w:rsidR="009741BB" w:rsidRPr="00AD06E0" w:rsidRDefault="00AD06E0" w:rsidP="00AD06E0">
            <w:pPr>
              <w:jc w:val="center"/>
              <w:rPr>
                <w:sz w:val="18"/>
                <w:szCs w:val="18"/>
                <w:lang w:val="uk-UA"/>
              </w:rPr>
            </w:pPr>
            <w:r w:rsidRPr="00AD06E0">
              <w:rPr>
                <w:sz w:val="18"/>
                <w:szCs w:val="18"/>
                <w:lang w:val="uk-UA"/>
              </w:rPr>
              <w:t>13</w:t>
            </w:r>
          </w:p>
        </w:tc>
        <w:tc>
          <w:tcPr>
            <w:tcW w:w="910" w:type="dxa"/>
          </w:tcPr>
          <w:p w:rsidR="009741BB" w:rsidRPr="00AD06E0" w:rsidRDefault="00AD06E0" w:rsidP="00AD06E0">
            <w:pPr>
              <w:jc w:val="center"/>
              <w:rPr>
                <w:sz w:val="18"/>
                <w:szCs w:val="18"/>
                <w:lang w:val="uk-UA"/>
              </w:rPr>
            </w:pPr>
            <w:r w:rsidRPr="00AD06E0">
              <w:rPr>
                <w:sz w:val="18"/>
                <w:szCs w:val="18"/>
                <w:lang w:val="uk-UA"/>
              </w:rPr>
              <w:t>8</w:t>
            </w:r>
          </w:p>
        </w:tc>
        <w:tc>
          <w:tcPr>
            <w:tcW w:w="709" w:type="dxa"/>
          </w:tcPr>
          <w:p w:rsidR="009741BB" w:rsidRPr="00AD06E0" w:rsidRDefault="00AD06E0" w:rsidP="00AD06E0">
            <w:pPr>
              <w:jc w:val="center"/>
              <w:rPr>
                <w:sz w:val="18"/>
                <w:szCs w:val="18"/>
                <w:lang w:val="uk-UA"/>
              </w:rPr>
            </w:pPr>
            <w:r w:rsidRPr="00AD06E0">
              <w:rPr>
                <w:sz w:val="18"/>
                <w:szCs w:val="18"/>
                <w:lang w:val="uk-UA"/>
              </w:rPr>
              <w:t>156</w:t>
            </w:r>
          </w:p>
        </w:tc>
        <w:tc>
          <w:tcPr>
            <w:tcW w:w="1276" w:type="dxa"/>
          </w:tcPr>
          <w:p w:rsidR="009741BB" w:rsidRPr="00AD06E0" w:rsidRDefault="00AD06E0" w:rsidP="00AD06E0">
            <w:pPr>
              <w:jc w:val="center"/>
              <w:rPr>
                <w:sz w:val="18"/>
                <w:szCs w:val="18"/>
                <w:lang w:val="uk-UA"/>
              </w:rPr>
            </w:pPr>
            <w:r w:rsidRPr="00AD06E0">
              <w:rPr>
                <w:sz w:val="18"/>
                <w:szCs w:val="18"/>
                <w:lang w:val="uk-UA"/>
              </w:rPr>
              <w:t>12</w:t>
            </w:r>
          </w:p>
        </w:tc>
        <w:tc>
          <w:tcPr>
            <w:tcW w:w="964" w:type="dxa"/>
          </w:tcPr>
          <w:p w:rsidR="009741BB" w:rsidRPr="00AD06E0" w:rsidRDefault="00AD06E0" w:rsidP="00AD06E0">
            <w:pPr>
              <w:jc w:val="center"/>
              <w:rPr>
                <w:sz w:val="18"/>
                <w:szCs w:val="18"/>
                <w:lang w:val="uk-UA"/>
              </w:rPr>
            </w:pPr>
            <w:r w:rsidRPr="00AD06E0">
              <w:rPr>
                <w:sz w:val="18"/>
                <w:szCs w:val="18"/>
                <w:lang w:val="uk-UA"/>
              </w:rPr>
              <w:t>8</w:t>
            </w:r>
          </w:p>
        </w:tc>
        <w:tc>
          <w:tcPr>
            <w:tcW w:w="992" w:type="dxa"/>
          </w:tcPr>
          <w:p w:rsidR="009741BB" w:rsidRPr="00AD06E0" w:rsidRDefault="009741BB" w:rsidP="00AD06E0">
            <w:pPr>
              <w:jc w:val="center"/>
              <w:rPr>
                <w:sz w:val="18"/>
                <w:szCs w:val="18"/>
                <w:lang w:val="uk-UA"/>
              </w:rPr>
            </w:pPr>
            <w:r w:rsidRPr="00AD06E0">
              <w:rPr>
                <w:sz w:val="18"/>
                <w:szCs w:val="18"/>
                <w:lang w:val="uk-UA"/>
              </w:rPr>
              <w:t>-1</w:t>
            </w:r>
          </w:p>
        </w:tc>
        <w:tc>
          <w:tcPr>
            <w:tcW w:w="992" w:type="dxa"/>
          </w:tcPr>
          <w:p w:rsidR="009741BB" w:rsidRPr="00AD06E0" w:rsidRDefault="009741BB" w:rsidP="00AD06E0">
            <w:pPr>
              <w:jc w:val="center"/>
              <w:rPr>
                <w:sz w:val="18"/>
                <w:szCs w:val="18"/>
                <w:lang w:val="uk-UA"/>
              </w:rPr>
            </w:pPr>
            <w:r w:rsidRPr="00AD06E0">
              <w:rPr>
                <w:sz w:val="18"/>
                <w:szCs w:val="18"/>
                <w:lang w:val="uk-UA"/>
              </w:rPr>
              <w:t>-1</w:t>
            </w:r>
          </w:p>
        </w:tc>
      </w:tr>
      <w:tr w:rsidR="00AD06E0" w:rsidRPr="00AD06E0" w:rsidTr="00E01922">
        <w:tc>
          <w:tcPr>
            <w:tcW w:w="2093" w:type="dxa"/>
          </w:tcPr>
          <w:p w:rsidR="00AD06E0" w:rsidRPr="00AD06E0" w:rsidRDefault="00AD06E0" w:rsidP="00E01922">
            <w:pPr>
              <w:ind w:right="-108"/>
              <w:rPr>
                <w:sz w:val="18"/>
                <w:szCs w:val="18"/>
                <w:lang w:val="uk-UA"/>
              </w:rPr>
            </w:pPr>
            <w:r w:rsidRPr="00AD06E0">
              <w:rPr>
                <w:sz w:val="18"/>
                <w:szCs w:val="18"/>
                <w:lang w:val="uk-UA"/>
              </w:rPr>
              <w:t>Середній Схід (9)</w:t>
            </w:r>
          </w:p>
        </w:tc>
        <w:tc>
          <w:tcPr>
            <w:tcW w:w="851" w:type="dxa"/>
          </w:tcPr>
          <w:p w:rsidR="00AD06E0" w:rsidRPr="00AD06E0" w:rsidRDefault="00AD06E0" w:rsidP="00AD06E0">
            <w:pPr>
              <w:jc w:val="center"/>
              <w:rPr>
                <w:sz w:val="18"/>
                <w:szCs w:val="18"/>
                <w:lang w:val="uk-UA"/>
              </w:rPr>
            </w:pPr>
            <w:r w:rsidRPr="00AD06E0">
              <w:rPr>
                <w:sz w:val="18"/>
                <w:szCs w:val="18"/>
                <w:lang w:val="uk-UA"/>
              </w:rPr>
              <w:t>625</w:t>
            </w:r>
          </w:p>
        </w:tc>
        <w:tc>
          <w:tcPr>
            <w:tcW w:w="1216" w:type="dxa"/>
          </w:tcPr>
          <w:p w:rsidR="00AD06E0" w:rsidRPr="00AD06E0" w:rsidRDefault="00AD06E0" w:rsidP="00AD06E0">
            <w:pPr>
              <w:jc w:val="center"/>
              <w:rPr>
                <w:sz w:val="18"/>
                <w:szCs w:val="18"/>
                <w:lang w:val="uk-UA"/>
              </w:rPr>
            </w:pPr>
            <w:r w:rsidRPr="00AD06E0">
              <w:rPr>
                <w:sz w:val="18"/>
                <w:szCs w:val="18"/>
                <w:lang w:val="uk-UA"/>
              </w:rPr>
              <w:t>85</w:t>
            </w:r>
          </w:p>
        </w:tc>
        <w:tc>
          <w:tcPr>
            <w:tcW w:w="910" w:type="dxa"/>
          </w:tcPr>
          <w:p w:rsidR="00AD06E0" w:rsidRPr="00AD06E0" w:rsidRDefault="00AD06E0" w:rsidP="00AD06E0">
            <w:pPr>
              <w:jc w:val="center"/>
              <w:rPr>
                <w:sz w:val="18"/>
                <w:szCs w:val="18"/>
                <w:lang w:val="uk-UA"/>
              </w:rPr>
            </w:pPr>
            <w:r w:rsidRPr="00AD06E0">
              <w:rPr>
                <w:sz w:val="18"/>
                <w:szCs w:val="18"/>
                <w:lang w:val="uk-UA"/>
              </w:rPr>
              <w:t>14</w:t>
            </w:r>
          </w:p>
        </w:tc>
        <w:tc>
          <w:tcPr>
            <w:tcW w:w="709" w:type="dxa"/>
          </w:tcPr>
          <w:p w:rsidR="00AD06E0" w:rsidRPr="00AD06E0" w:rsidRDefault="00AD06E0" w:rsidP="00AD06E0">
            <w:pPr>
              <w:jc w:val="center"/>
              <w:rPr>
                <w:sz w:val="18"/>
                <w:szCs w:val="18"/>
                <w:lang w:val="uk-UA"/>
              </w:rPr>
            </w:pPr>
            <w:r w:rsidRPr="00AD06E0">
              <w:rPr>
                <w:sz w:val="18"/>
                <w:szCs w:val="18"/>
                <w:lang w:val="uk-UA"/>
              </w:rPr>
              <w:t>1194</w:t>
            </w:r>
          </w:p>
        </w:tc>
        <w:tc>
          <w:tcPr>
            <w:tcW w:w="1276" w:type="dxa"/>
          </w:tcPr>
          <w:p w:rsidR="00AD06E0" w:rsidRPr="00AD06E0" w:rsidRDefault="00AD06E0" w:rsidP="00AD06E0">
            <w:pPr>
              <w:jc w:val="center"/>
              <w:rPr>
                <w:sz w:val="18"/>
                <w:szCs w:val="18"/>
                <w:lang w:val="uk-UA"/>
              </w:rPr>
            </w:pPr>
            <w:r w:rsidRPr="00AD06E0">
              <w:rPr>
                <w:sz w:val="18"/>
                <w:szCs w:val="18"/>
                <w:lang w:val="uk-UA"/>
              </w:rPr>
              <w:t>202</w:t>
            </w:r>
          </w:p>
        </w:tc>
        <w:tc>
          <w:tcPr>
            <w:tcW w:w="964" w:type="dxa"/>
          </w:tcPr>
          <w:p w:rsidR="00AD06E0" w:rsidRPr="00AD06E0" w:rsidRDefault="00AD06E0" w:rsidP="00AD06E0">
            <w:pPr>
              <w:jc w:val="center"/>
              <w:rPr>
                <w:sz w:val="18"/>
                <w:szCs w:val="18"/>
                <w:lang w:val="uk-UA"/>
              </w:rPr>
            </w:pPr>
            <w:r w:rsidRPr="00AD06E0">
              <w:rPr>
                <w:sz w:val="18"/>
                <w:szCs w:val="18"/>
                <w:lang w:val="uk-UA"/>
              </w:rPr>
              <w:t>17</w:t>
            </w:r>
          </w:p>
        </w:tc>
        <w:tc>
          <w:tcPr>
            <w:tcW w:w="992" w:type="dxa"/>
          </w:tcPr>
          <w:p w:rsidR="00AD06E0" w:rsidRPr="00AD06E0" w:rsidRDefault="00AD06E0" w:rsidP="00AD06E0">
            <w:pPr>
              <w:jc w:val="center"/>
              <w:rPr>
                <w:sz w:val="18"/>
                <w:szCs w:val="18"/>
                <w:lang w:val="uk-UA"/>
              </w:rPr>
            </w:pPr>
            <w:r w:rsidRPr="00AD06E0">
              <w:rPr>
                <w:sz w:val="18"/>
                <w:szCs w:val="18"/>
                <w:lang w:val="uk-UA"/>
              </w:rPr>
              <w:t>117</w:t>
            </w:r>
          </w:p>
        </w:tc>
        <w:tc>
          <w:tcPr>
            <w:tcW w:w="992" w:type="dxa"/>
          </w:tcPr>
          <w:p w:rsidR="00AD06E0" w:rsidRPr="00AD06E0" w:rsidRDefault="00AD06E0" w:rsidP="00AD06E0">
            <w:pPr>
              <w:jc w:val="center"/>
              <w:rPr>
                <w:sz w:val="18"/>
                <w:szCs w:val="18"/>
                <w:lang w:val="uk-UA"/>
              </w:rPr>
            </w:pPr>
            <w:r w:rsidRPr="00AD06E0">
              <w:rPr>
                <w:sz w:val="18"/>
                <w:szCs w:val="18"/>
                <w:lang w:val="uk-UA"/>
              </w:rPr>
              <w:t>3</w:t>
            </w:r>
          </w:p>
        </w:tc>
      </w:tr>
      <w:tr w:rsidR="00AD06E0" w:rsidRPr="00AD06E0" w:rsidTr="00E01922">
        <w:tc>
          <w:tcPr>
            <w:tcW w:w="2093" w:type="dxa"/>
          </w:tcPr>
          <w:p w:rsidR="00AD06E0" w:rsidRPr="00AD06E0" w:rsidRDefault="00AD06E0" w:rsidP="00E01922">
            <w:pPr>
              <w:ind w:right="-108"/>
              <w:rPr>
                <w:sz w:val="18"/>
                <w:szCs w:val="18"/>
                <w:lang w:val="uk-UA"/>
              </w:rPr>
            </w:pPr>
            <w:r w:rsidRPr="00AD06E0">
              <w:rPr>
                <w:sz w:val="18"/>
                <w:szCs w:val="18"/>
                <w:lang w:val="uk-UA"/>
              </w:rPr>
              <w:t xml:space="preserve">Центральна Азія (4) </w:t>
            </w:r>
          </w:p>
        </w:tc>
        <w:tc>
          <w:tcPr>
            <w:tcW w:w="851" w:type="dxa"/>
          </w:tcPr>
          <w:p w:rsidR="00AD06E0" w:rsidRPr="00AD06E0" w:rsidRDefault="00AD06E0" w:rsidP="00AD06E0">
            <w:pPr>
              <w:jc w:val="center"/>
              <w:rPr>
                <w:sz w:val="18"/>
                <w:szCs w:val="18"/>
                <w:lang w:val="uk-UA"/>
              </w:rPr>
            </w:pPr>
            <w:r w:rsidRPr="00AD06E0">
              <w:rPr>
                <w:sz w:val="18"/>
                <w:szCs w:val="18"/>
                <w:lang w:val="uk-UA"/>
              </w:rPr>
              <w:t>150</w:t>
            </w:r>
          </w:p>
        </w:tc>
        <w:tc>
          <w:tcPr>
            <w:tcW w:w="1216" w:type="dxa"/>
          </w:tcPr>
          <w:p w:rsidR="00AD06E0" w:rsidRPr="00AD06E0" w:rsidRDefault="00AD06E0" w:rsidP="00AD06E0">
            <w:pPr>
              <w:jc w:val="center"/>
              <w:rPr>
                <w:sz w:val="18"/>
                <w:szCs w:val="18"/>
                <w:lang w:val="uk-UA"/>
              </w:rPr>
            </w:pPr>
            <w:r w:rsidRPr="00AD06E0">
              <w:rPr>
                <w:sz w:val="18"/>
                <w:szCs w:val="18"/>
                <w:lang w:val="uk-UA"/>
              </w:rPr>
              <w:t>3</w:t>
            </w:r>
          </w:p>
        </w:tc>
        <w:tc>
          <w:tcPr>
            <w:tcW w:w="910" w:type="dxa"/>
          </w:tcPr>
          <w:p w:rsidR="00AD06E0" w:rsidRPr="00AD06E0" w:rsidRDefault="00AD06E0" w:rsidP="00AD06E0">
            <w:pPr>
              <w:jc w:val="center"/>
              <w:rPr>
                <w:sz w:val="18"/>
                <w:szCs w:val="18"/>
                <w:lang w:val="uk-UA"/>
              </w:rPr>
            </w:pPr>
            <w:r w:rsidRPr="00AD06E0">
              <w:rPr>
                <w:sz w:val="18"/>
                <w:szCs w:val="18"/>
                <w:lang w:val="uk-UA"/>
              </w:rPr>
              <w:t>2</w:t>
            </w:r>
          </w:p>
        </w:tc>
        <w:tc>
          <w:tcPr>
            <w:tcW w:w="709" w:type="dxa"/>
          </w:tcPr>
          <w:p w:rsidR="00AD06E0" w:rsidRPr="00AD06E0" w:rsidRDefault="00AD06E0" w:rsidP="00AD06E0">
            <w:pPr>
              <w:jc w:val="center"/>
              <w:rPr>
                <w:sz w:val="18"/>
                <w:szCs w:val="18"/>
                <w:lang w:val="uk-UA"/>
              </w:rPr>
            </w:pPr>
            <w:r w:rsidRPr="00AD06E0">
              <w:rPr>
                <w:sz w:val="18"/>
                <w:szCs w:val="18"/>
                <w:lang w:val="uk-UA"/>
              </w:rPr>
              <w:t>390</w:t>
            </w:r>
          </w:p>
        </w:tc>
        <w:tc>
          <w:tcPr>
            <w:tcW w:w="1276" w:type="dxa"/>
          </w:tcPr>
          <w:p w:rsidR="00AD06E0" w:rsidRPr="00AD06E0" w:rsidRDefault="00AD06E0" w:rsidP="00AD06E0">
            <w:pPr>
              <w:jc w:val="center"/>
              <w:rPr>
                <w:sz w:val="18"/>
                <w:szCs w:val="18"/>
                <w:lang w:val="uk-UA"/>
              </w:rPr>
            </w:pPr>
            <w:r w:rsidRPr="00AD06E0">
              <w:rPr>
                <w:sz w:val="18"/>
                <w:szCs w:val="18"/>
                <w:lang w:val="uk-UA"/>
              </w:rPr>
              <w:t>9</w:t>
            </w:r>
          </w:p>
        </w:tc>
        <w:tc>
          <w:tcPr>
            <w:tcW w:w="964" w:type="dxa"/>
          </w:tcPr>
          <w:p w:rsidR="00AD06E0" w:rsidRPr="00AD06E0" w:rsidRDefault="00AD06E0" w:rsidP="00AD06E0">
            <w:pPr>
              <w:jc w:val="center"/>
              <w:rPr>
                <w:sz w:val="18"/>
                <w:szCs w:val="18"/>
                <w:lang w:val="uk-UA"/>
              </w:rPr>
            </w:pPr>
            <w:r w:rsidRPr="00AD06E0">
              <w:rPr>
                <w:sz w:val="18"/>
                <w:szCs w:val="18"/>
                <w:lang w:val="uk-UA"/>
              </w:rPr>
              <w:t>2</w:t>
            </w:r>
          </w:p>
        </w:tc>
        <w:tc>
          <w:tcPr>
            <w:tcW w:w="992" w:type="dxa"/>
          </w:tcPr>
          <w:p w:rsidR="00AD06E0" w:rsidRPr="00AD06E0" w:rsidRDefault="00AD06E0" w:rsidP="00AD06E0">
            <w:pPr>
              <w:jc w:val="center"/>
              <w:rPr>
                <w:sz w:val="18"/>
                <w:szCs w:val="18"/>
                <w:lang w:val="uk-UA"/>
              </w:rPr>
            </w:pPr>
            <w:r w:rsidRPr="00AD06E0">
              <w:rPr>
                <w:sz w:val="18"/>
                <w:szCs w:val="18"/>
                <w:lang w:val="uk-UA"/>
              </w:rPr>
              <w:t>6</w:t>
            </w:r>
          </w:p>
        </w:tc>
        <w:tc>
          <w:tcPr>
            <w:tcW w:w="992" w:type="dxa"/>
          </w:tcPr>
          <w:p w:rsidR="00AD06E0" w:rsidRPr="00AD06E0" w:rsidRDefault="00AD06E0" w:rsidP="00AD06E0">
            <w:pPr>
              <w:jc w:val="center"/>
              <w:rPr>
                <w:sz w:val="18"/>
                <w:szCs w:val="18"/>
                <w:lang w:val="uk-UA"/>
              </w:rPr>
            </w:pPr>
            <w:r w:rsidRPr="00AD06E0">
              <w:rPr>
                <w:sz w:val="18"/>
                <w:szCs w:val="18"/>
                <w:lang w:val="uk-UA"/>
              </w:rPr>
              <w:t>0</w:t>
            </w:r>
          </w:p>
        </w:tc>
      </w:tr>
      <w:tr w:rsidR="00AD06E0" w:rsidRPr="00AD06E0" w:rsidTr="00E01922">
        <w:tc>
          <w:tcPr>
            <w:tcW w:w="2093" w:type="dxa"/>
          </w:tcPr>
          <w:p w:rsidR="00AD06E0" w:rsidRPr="00AD06E0" w:rsidRDefault="00AD06E0" w:rsidP="00C2107A">
            <w:pPr>
              <w:ind w:right="-108"/>
              <w:rPr>
                <w:sz w:val="18"/>
                <w:szCs w:val="18"/>
                <w:lang w:val="uk-UA"/>
              </w:rPr>
            </w:pPr>
            <w:r w:rsidRPr="00AD06E0">
              <w:rPr>
                <w:sz w:val="18"/>
                <w:szCs w:val="18"/>
                <w:lang w:val="uk-UA"/>
              </w:rPr>
              <w:t>Східна Азія і</w:t>
            </w:r>
            <w:r w:rsidR="00E01922">
              <w:rPr>
                <w:sz w:val="18"/>
                <w:szCs w:val="18"/>
                <w:lang w:val="uk-UA"/>
              </w:rPr>
              <w:t xml:space="preserve"> </w:t>
            </w:r>
            <w:r w:rsidRPr="00AD06E0">
              <w:rPr>
                <w:sz w:val="18"/>
                <w:szCs w:val="18"/>
                <w:lang w:val="uk-UA"/>
              </w:rPr>
              <w:t>Океанія</w:t>
            </w:r>
            <w:r w:rsidR="00C2107A">
              <w:rPr>
                <w:sz w:val="18"/>
                <w:szCs w:val="18"/>
                <w:lang w:val="uk-UA"/>
              </w:rPr>
              <w:t xml:space="preserve"> </w:t>
            </w:r>
            <w:r w:rsidRPr="00AD06E0">
              <w:rPr>
                <w:sz w:val="18"/>
                <w:szCs w:val="18"/>
                <w:lang w:val="uk-UA"/>
              </w:rPr>
              <w:t xml:space="preserve">(13) </w:t>
            </w:r>
          </w:p>
        </w:tc>
        <w:tc>
          <w:tcPr>
            <w:tcW w:w="851" w:type="dxa"/>
          </w:tcPr>
          <w:p w:rsidR="00AD06E0" w:rsidRPr="00AD06E0" w:rsidRDefault="00AD06E0" w:rsidP="00AD06E0">
            <w:pPr>
              <w:jc w:val="center"/>
              <w:rPr>
                <w:sz w:val="18"/>
                <w:szCs w:val="18"/>
                <w:lang w:val="uk-UA"/>
              </w:rPr>
            </w:pPr>
            <w:r w:rsidRPr="00AD06E0">
              <w:rPr>
                <w:sz w:val="18"/>
                <w:szCs w:val="18"/>
                <w:lang w:val="uk-UA"/>
              </w:rPr>
              <w:t>10543</w:t>
            </w:r>
          </w:p>
        </w:tc>
        <w:tc>
          <w:tcPr>
            <w:tcW w:w="1216" w:type="dxa"/>
          </w:tcPr>
          <w:p w:rsidR="00AD06E0" w:rsidRPr="00AD06E0" w:rsidRDefault="00AD06E0" w:rsidP="00AD06E0">
            <w:pPr>
              <w:jc w:val="center"/>
              <w:rPr>
                <w:sz w:val="18"/>
                <w:szCs w:val="18"/>
                <w:lang w:val="uk-UA"/>
              </w:rPr>
            </w:pPr>
            <w:r w:rsidRPr="00AD06E0">
              <w:rPr>
                <w:sz w:val="18"/>
                <w:szCs w:val="18"/>
                <w:lang w:val="uk-UA"/>
              </w:rPr>
              <w:t>545</w:t>
            </w:r>
          </w:p>
        </w:tc>
        <w:tc>
          <w:tcPr>
            <w:tcW w:w="910" w:type="dxa"/>
          </w:tcPr>
          <w:p w:rsidR="00AD06E0" w:rsidRPr="00AD06E0" w:rsidRDefault="00AD06E0" w:rsidP="00AD06E0">
            <w:pPr>
              <w:jc w:val="center"/>
              <w:rPr>
                <w:sz w:val="18"/>
                <w:szCs w:val="18"/>
                <w:lang w:val="uk-UA"/>
              </w:rPr>
            </w:pPr>
            <w:r w:rsidRPr="00AD06E0">
              <w:rPr>
                <w:sz w:val="18"/>
                <w:szCs w:val="18"/>
                <w:lang w:val="uk-UA"/>
              </w:rPr>
              <w:t>11</w:t>
            </w:r>
          </w:p>
        </w:tc>
        <w:tc>
          <w:tcPr>
            <w:tcW w:w="709" w:type="dxa"/>
          </w:tcPr>
          <w:p w:rsidR="00AD06E0" w:rsidRPr="00AD06E0" w:rsidRDefault="00AD06E0" w:rsidP="00AD06E0">
            <w:pPr>
              <w:jc w:val="center"/>
              <w:rPr>
                <w:sz w:val="18"/>
                <w:szCs w:val="18"/>
                <w:lang w:val="uk-UA"/>
              </w:rPr>
            </w:pPr>
            <w:r w:rsidRPr="00AD06E0">
              <w:rPr>
                <w:sz w:val="18"/>
                <w:szCs w:val="18"/>
                <w:lang w:val="uk-UA"/>
              </w:rPr>
              <w:t>721</w:t>
            </w:r>
          </w:p>
        </w:tc>
        <w:tc>
          <w:tcPr>
            <w:tcW w:w="1276" w:type="dxa"/>
          </w:tcPr>
          <w:p w:rsidR="00AD06E0" w:rsidRPr="00AD06E0" w:rsidRDefault="00AD06E0" w:rsidP="00AD06E0">
            <w:pPr>
              <w:jc w:val="center"/>
              <w:rPr>
                <w:sz w:val="18"/>
                <w:szCs w:val="18"/>
                <w:lang w:val="uk-UA"/>
              </w:rPr>
            </w:pPr>
            <w:r w:rsidRPr="00AD06E0">
              <w:rPr>
                <w:sz w:val="18"/>
                <w:szCs w:val="18"/>
                <w:lang w:val="uk-UA"/>
              </w:rPr>
              <w:t>758</w:t>
            </w:r>
          </w:p>
        </w:tc>
        <w:tc>
          <w:tcPr>
            <w:tcW w:w="964" w:type="dxa"/>
          </w:tcPr>
          <w:p w:rsidR="00AD06E0" w:rsidRPr="00AD06E0" w:rsidRDefault="00AD06E0" w:rsidP="00AD06E0">
            <w:pPr>
              <w:jc w:val="center"/>
              <w:rPr>
                <w:sz w:val="18"/>
                <w:szCs w:val="18"/>
                <w:lang w:val="uk-UA"/>
              </w:rPr>
            </w:pPr>
            <w:r w:rsidRPr="00AD06E0">
              <w:rPr>
                <w:sz w:val="18"/>
                <w:szCs w:val="18"/>
                <w:lang w:val="uk-UA"/>
              </w:rPr>
              <w:t>6</w:t>
            </w:r>
          </w:p>
        </w:tc>
        <w:tc>
          <w:tcPr>
            <w:tcW w:w="992" w:type="dxa"/>
          </w:tcPr>
          <w:p w:rsidR="00AD06E0" w:rsidRPr="00AD06E0" w:rsidRDefault="00AD06E0" w:rsidP="00AD06E0">
            <w:pPr>
              <w:jc w:val="center"/>
              <w:rPr>
                <w:sz w:val="18"/>
                <w:szCs w:val="18"/>
                <w:lang w:val="uk-UA"/>
              </w:rPr>
            </w:pPr>
            <w:r w:rsidRPr="00AD06E0">
              <w:rPr>
                <w:sz w:val="18"/>
                <w:szCs w:val="18"/>
                <w:lang w:val="uk-UA"/>
              </w:rPr>
              <w:t>213</w:t>
            </w:r>
          </w:p>
        </w:tc>
        <w:tc>
          <w:tcPr>
            <w:tcW w:w="992" w:type="dxa"/>
          </w:tcPr>
          <w:p w:rsidR="00AD06E0" w:rsidRPr="00AD06E0" w:rsidRDefault="00AD06E0" w:rsidP="00AD06E0">
            <w:pPr>
              <w:jc w:val="center"/>
              <w:rPr>
                <w:sz w:val="18"/>
                <w:szCs w:val="18"/>
                <w:lang w:val="uk-UA"/>
              </w:rPr>
            </w:pPr>
            <w:r w:rsidRPr="00AD06E0">
              <w:rPr>
                <w:sz w:val="18"/>
                <w:szCs w:val="18"/>
                <w:lang w:val="uk-UA"/>
              </w:rPr>
              <w:t>1</w:t>
            </w:r>
          </w:p>
        </w:tc>
      </w:tr>
      <w:tr w:rsidR="00AD06E0" w:rsidRPr="00AD06E0" w:rsidTr="00E01922">
        <w:tc>
          <w:tcPr>
            <w:tcW w:w="2093" w:type="dxa"/>
          </w:tcPr>
          <w:p w:rsidR="00AD06E0" w:rsidRPr="00AD06E0" w:rsidRDefault="00AD06E0" w:rsidP="00E01922">
            <w:pPr>
              <w:ind w:right="-108"/>
              <w:rPr>
                <w:sz w:val="18"/>
                <w:szCs w:val="18"/>
                <w:lang w:val="uk-UA"/>
              </w:rPr>
            </w:pPr>
            <w:r w:rsidRPr="00AD06E0">
              <w:rPr>
                <w:sz w:val="18"/>
                <w:szCs w:val="18"/>
                <w:lang w:val="uk-UA"/>
              </w:rPr>
              <w:t>Всі країни  (105)</w:t>
            </w:r>
          </w:p>
        </w:tc>
        <w:tc>
          <w:tcPr>
            <w:tcW w:w="851" w:type="dxa"/>
          </w:tcPr>
          <w:p w:rsidR="00AD06E0" w:rsidRPr="00AD06E0" w:rsidRDefault="00AD06E0" w:rsidP="00AD06E0">
            <w:pPr>
              <w:jc w:val="center"/>
              <w:rPr>
                <w:sz w:val="18"/>
                <w:szCs w:val="18"/>
                <w:lang w:val="uk-UA"/>
              </w:rPr>
            </w:pPr>
            <w:r w:rsidRPr="00AD06E0">
              <w:rPr>
                <w:sz w:val="18"/>
                <w:szCs w:val="18"/>
                <w:lang w:val="uk-UA"/>
              </w:rPr>
              <w:t>33169</w:t>
            </w:r>
          </w:p>
        </w:tc>
        <w:tc>
          <w:tcPr>
            <w:tcW w:w="1216" w:type="dxa"/>
          </w:tcPr>
          <w:p w:rsidR="00AD06E0" w:rsidRPr="00AD06E0" w:rsidRDefault="00AD06E0" w:rsidP="00AD06E0">
            <w:pPr>
              <w:jc w:val="center"/>
              <w:rPr>
                <w:sz w:val="18"/>
                <w:szCs w:val="18"/>
                <w:lang w:val="uk-UA"/>
              </w:rPr>
            </w:pPr>
            <w:r w:rsidRPr="00AD06E0">
              <w:rPr>
                <w:sz w:val="18"/>
                <w:szCs w:val="18"/>
                <w:lang w:val="uk-UA"/>
              </w:rPr>
              <w:t>5043</w:t>
            </w:r>
          </w:p>
        </w:tc>
        <w:tc>
          <w:tcPr>
            <w:tcW w:w="910" w:type="dxa"/>
          </w:tcPr>
          <w:p w:rsidR="00AD06E0" w:rsidRPr="00AD06E0" w:rsidRDefault="00AD06E0" w:rsidP="00AD06E0">
            <w:pPr>
              <w:jc w:val="center"/>
              <w:rPr>
                <w:sz w:val="18"/>
                <w:szCs w:val="18"/>
                <w:lang w:val="uk-UA"/>
              </w:rPr>
            </w:pPr>
            <w:r w:rsidRPr="00AD06E0">
              <w:rPr>
                <w:sz w:val="18"/>
                <w:szCs w:val="18"/>
                <w:lang w:val="uk-UA"/>
              </w:rPr>
              <w:t>15</w:t>
            </w:r>
          </w:p>
        </w:tc>
        <w:tc>
          <w:tcPr>
            <w:tcW w:w="709" w:type="dxa"/>
          </w:tcPr>
          <w:p w:rsidR="00AD06E0" w:rsidRPr="00AD06E0" w:rsidRDefault="00AD06E0" w:rsidP="00AD06E0">
            <w:pPr>
              <w:jc w:val="center"/>
              <w:rPr>
                <w:sz w:val="18"/>
                <w:szCs w:val="18"/>
                <w:lang w:val="uk-UA"/>
              </w:rPr>
            </w:pPr>
            <w:r w:rsidRPr="00AD06E0">
              <w:rPr>
                <w:sz w:val="18"/>
                <w:szCs w:val="18"/>
                <w:lang w:val="uk-UA"/>
              </w:rPr>
              <w:t>57165</w:t>
            </w:r>
          </w:p>
        </w:tc>
        <w:tc>
          <w:tcPr>
            <w:tcW w:w="1276" w:type="dxa"/>
          </w:tcPr>
          <w:p w:rsidR="00AD06E0" w:rsidRPr="00AD06E0" w:rsidRDefault="00AD06E0" w:rsidP="00AD06E0">
            <w:pPr>
              <w:jc w:val="center"/>
              <w:rPr>
                <w:sz w:val="18"/>
                <w:szCs w:val="18"/>
                <w:lang w:val="uk-UA"/>
              </w:rPr>
            </w:pPr>
            <w:r w:rsidRPr="00AD06E0">
              <w:rPr>
                <w:sz w:val="18"/>
                <w:szCs w:val="18"/>
                <w:lang w:val="uk-UA"/>
              </w:rPr>
              <w:t>13039</w:t>
            </w:r>
          </w:p>
        </w:tc>
        <w:tc>
          <w:tcPr>
            <w:tcW w:w="964" w:type="dxa"/>
          </w:tcPr>
          <w:p w:rsidR="00AD06E0" w:rsidRPr="00AD06E0" w:rsidRDefault="00AD06E0" w:rsidP="00AD06E0">
            <w:pPr>
              <w:jc w:val="center"/>
              <w:rPr>
                <w:sz w:val="18"/>
                <w:szCs w:val="18"/>
                <w:lang w:val="uk-UA"/>
              </w:rPr>
            </w:pPr>
            <w:r w:rsidRPr="00AD06E0">
              <w:rPr>
                <w:sz w:val="18"/>
                <w:szCs w:val="18"/>
                <w:lang w:val="uk-UA"/>
              </w:rPr>
              <w:t>23</w:t>
            </w:r>
          </w:p>
        </w:tc>
        <w:tc>
          <w:tcPr>
            <w:tcW w:w="992" w:type="dxa"/>
          </w:tcPr>
          <w:p w:rsidR="00AD06E0" w:rsidRPr="00AD06E0" w:rsidRDefault="00AD06E0" w:rsidP="00AD06E0">
            <w:pPr>
              <w:jc w:val="center"/>
              <w:rPr>
                <w:sz w:val="18"/>
                <w:szCs w:val="18"/>
                <w:lang w:val="uk-UA"/>
              </w:rPr>
            </w:pPr>
            <w:r w:rsidRPr="00AD06E0">
              <w:rPr>
                <w:sz w:val="18"/>
                <w:szCs w:val="18"/>
                <w:lang w:val="uk-UA"/>
              </w:rPr>
              <w:t>7996</w:t>
            </w:r>
          </w:p>
        </w:tc>
        <w:tc>
          <w:tcPr>
            <w:tcW w:w="992" w:type="dxa"/>
          </w:tcPr>
          <w:p w:rsidR="00AD06E0" w:rsidRPr="00AD06E0" w:rsidRDefault="00AD06E0" w:rsidP="00AD06E0">
            <w:pPr>
              <w:jc w:val="center"/>
              <w:rPr>
                <w:sz w:val="18"/>
                <w:szCs w:val="18"/>
                <w:lang w:val="uk-UA"/>
              </w:rPr>
            </w:pPr>
            <w:r w:rsidRPr="00AD06E0">
              <w:rPr>
                <w:sz w:val="18"/>
                <w:szCs w:val="18"/>
                <w:lang w:val="uk-UA"/>
              </w:rPr>
              <w:t>8</w:t>
            </w:r>
          </w:p>
        </w:tc>
      </w:tr>
    </w:tbl>
    <w:p w:rsidR="008C6722" w:rsidRPr="0082109D" w:rsidRDefault="008C6722" w:rsidP="008C6722">
      <w:pPr>
        <w:spacing w:after="0" w:line="360" w:lineRule="auto"/>
        <w:jc w:val="both"/>
        <w:rPr>
          <w:sz w:val="18"/>
          <w:szCs w:val="20"/>
          <w:lang w:val="uk-UA"/>
        </w:rPr>
      </w:pPr>
      <w:r w:rsidRPr="0082109D">
        <w:rPr>
          <w:color w:val="auto"/>
          <w:sz w:val="18"/>
          <w:szCs w:val="20"/>
          <w:lang w:val="uk-UA"/>
        </w:rPr>
        <w:t xml:space="preserve">Примітка. Складено автором на основі </w:t>
      </w:r>
      <w:r w:rsidRPr="0082109D">
        <w:rPr>
          <w:sz w:val="18"/>
          <w:szCs w:val="20"/>
          <w:lang w:val="uk-UA"/>
        </w:rPr>
        <w:t>[</w:t>
      </w:r>
      <w:r w:rsidRPr="008C6722">
        <w:rPr>
          <w:sz w:val="18"/>
          <w:szCs w:val="20"/>
        </w:rPr>
        <w:t>5</w:t>
      </w:r>
      <w:r w:rsidRPr="0082109D">
        <w:rPr>
          <w:sz w:val="18"/>
          <w:szCs w:val="20"/>
          <w:lang w:val="uk-UA"/>
        </w:rPr>
        <w:t>]</w:t>
      </w:r>
    </w:p>
    <w:p w:rsidR="004C1207" w:rsidRDefault="004C1207" w:rsidP="004C1207">
      <w:pPr>
        <w:spacing w:after="0" w:line="240" w:lineRule="auto"/>
        <w:ind w:firstLine="709"/>
        <w:jc w:val="both"/>
        <w:rPr>
          <w:sz w:val="20"/>
          <w:szCs w:val="20"/>
          <w:lang w:val="uk-UA"/>
        </w:rPr>
      </w:pPr>
      <w:r w:rsidRPr="004C1207">
        <w:rPr>
          <w:sz w:val="20"/>
          <w:szCs w:val="20"/>
          <w:lang w:val="uk-UA"/>
        </w:rPr>
        <w:t>Як свідчить таблиця 1, протягом останнього десятиліття безперечними лідерами банківського сектора за обсягом активів є країни Західної Європи та Східної Азії. При цьому за останнє десятиліття</w:t>
      </w:r>
      <w:r>
        <w:rPr>
          <w:sz w:val="20"/>
          <w:szCs w:val="20"/>
          <w:lang w:val="uk-UA"/>
        </w:rPr>
        <w:t xml:space="preserve"> </w:t>
      </w:r>
      <w:r w:rsidRPr="004C1207">
        <w:rPr>
          <w:sz w:val="20"/>
          <w:szCs w:val="20"/>
          <w:lang w:val="uk-UA"/>
        </w:rPr>
        <w:t>спостерігається значне прискорення темпів зростання присутності іноземних банків в країнах Східної і Західної Європи, Латинської Америки</w:t>
      </w:r>
      <w:r>
        <w:rPr>
          <w:sz w:val="20"/>
          <w:szCs w:val="20"/>
          <w:lang w:val="uk-UA"/>
        </w:rPr>
        <w:t>.</w:t>
      </w:r>
    </w:p>
    <w:p w:rsidR="00032116" w:rsidRPr="00717747" w:rsidRDefault="00032116" w:rsidP="00B80912">
      <w:pPr>
        <w:spacing w:after="0" w:line="240" w:lineRule="auto"/>
        <w:ind w:firstLine="709"/>
        <w:jc w:val="both"/>
        <w:rPr>
          <w:sz w:val="20"/>
          <w:szCs w:val="20"/>
          <w:lang w:val="uk-UA"/>
        </w:rPr>
      </w:pPr>
      <w:r w:rsidRPr="00717747">
        <w:rPr>
          <w:sz w:val="20"/>
          <w:szCs w:val="20"/>
          <w:lang w:val="uk-UA"/>
        </w:rPr>
        <w:t>Аналіз досвіду розвинутих країн свідчить, що в їхніх фінансових системах консолідація здійснюється за кількома напрямками [</w:t>
      </w:r>
      <w:r w:rsidR="0082109D" w:rsidRPr="0082109D">
        <w:rPr>
          <w:sz w:val="20"/>
          <w:szCs w:val="20"/>
        </w:rPr>
        <w:t>2</w:t>
      </w:r>
      <w:r w:rsidRPr="00717747">
        <w:rPr>
          <w:sz w:val="20"/>
          <w:szCs w:val="20"/>
          <w:lang w:val="uk-UA"/>
        </w:rPr>
        <w:t xml:space="preserve">]: </w:t>
      </w:r>
    </w:p>
    <w:p w:rsidR="00032116" w:rsidRPr="00717747" w:rsidRDefault="00032116" w:rsidP="00B80912">
      <w:pPr>
        <w:spacing w:after="0" w:line="240" w:lineRule="auto"/>
        <w:ind w:firstLine="709"/>
        <w:jc w:val="both"/>
        <w:rPr>
          <w:sz w:val="20"/>
          <w:szCs w:val="20"/>
          <w:lang w:val="uk-UA"/>
        </w:rPr>
      </w:pPr>
      <w:r w:rsidRPr="00717747">
        <w:rPr>
          <w:sz w:val="20"/>
          <w:szCs w:val="20"/>
          <w:lang w:val="uk-UA"/>
        </w:rPr>
        <w:t xml:space="preserve">– серед установ, що конкурують в одному і тому самому сегменті фінансового сектора певної країни (банк Німеччини); </w:t>
      </w:r>
    </w:p>
    <w:p w:rsidR="00032116" w:rsidRPr="00717747" w:rsidRDefault="00032116" w:rsidP="00B80912">
      <w:pPr>
        <w:spacing w:after="0" w:line="240" w:lineRule="auto"/>
        <w:ind w:firstLine="709"/>
        <w:jc w:val="both"/>
        <w:rPr>
          <w:sz w:val="20"/>
          <w:szCs w:val="20"/>
          <w:lang w:val="uk-UA"/>
        </w:rPr>
      </w:pPr>
      <w:r w:rsidRPr="00717747">
        <w:rPr>
          <w:sz w:val="20"/>
          <w:szCs w:val="20"/>
          <w:lang w:val="uk-UA"/>
        </w:rPr>
        <w:lastRenderedPageBreak/>
        <w:t xml:space="preserve">– серед установ, які функціонують у різних ринкових сегментах однієї країни (банк Великої Британії – страхова компанія Великої Британії); </w:t>
      </w:r>
    </w:p>
    <w:p w:rsidR="00032116" w:rsidRPr="00717747" w:rsidRDefault="00032116" w:rsidP="00B80912">
      <w:pPr>
        <w:spacing w:after="0" w:line="240" w:lineRule="auto"/>
        <w:ind w:firstLine="709"/>
        <w:jc w:val="both"/>
        <w:rPr>
          <w:sz w:val="20"/>
          <w:szCs w:val="20"/>
          <w:lang w:val="uk-UA"/>
        </w:rPr>
      </w:pPr>
      <w:r w:rsidRPr="00717747">
        <w:rPr>
          <w:sz w:val="20"/>
          <w:szCs w:val="20"/>
          <w:lang w:val="uk-UA"/>
        </w:rPr>
        <w:t xml:space="preserve">– серед установ, що діють в одному і тому самому сегменті фінансового сектора, але знаходяться в різних країнах (банк Фінляндії – банк Швейцарії); </w:t>
      </w:r>
    </w:p>
    <w:p w:rsidR="00032116" w:rsidRPr="00717747" w:rsidRDefault="00032116" w:rsidP="00B80912">
      <w:pPr>
        <w:spacing w:after="0" w:line="240" w:lineRule="auto"/>
        <w:ind w:firstLine="709"/>
        <w:jc w:val="both"/>
        <w:rPr>
          <w:sz w:val="20"/>
          <w:szCs w:val="20"/>
          <w:lang w:val="uk-UA"/>
        </w:rPr>
      </w:pPr>
      <w:r w:rsidRPr="00717747">
        <w:rPr>
          <w:sz w:val="20"/>
          <w:szCs w:val="20"/>
          <w:lang w:val="uk-UA"/>
        </w:rPr>
        <w:t xml:space="preserve">– серед установ, які займають різні ринкові сегменти і діють у різних країнах (банк США – інвестиційна компанія Великої Британії). </w:t>
      </w:r>
    </w:p>
    <w:p w:rsidR="00032116" w:rsidRPr="00717747" w:rsidRDefault="00032116" w:rsidP="00B80912">
      <w:pPr>
        <w:spacing w:after="0" w:line="240" w:lineRule="auto"/>
        <w:ind w:firstLine="709"/>
        <w:jc w:val="both"/>
        <w:rPr>
          <w:sz w:val="20"/>
          <w:szCs w:val="20"/>
          <w:lang w:val="uk-UA"/>
        </w:rPr>
      </w:pPr>
      <w:r w:rsidRPr="00717747">
        <w:rPr>
          <w:sz w:val="20"/>
          <w:szCs w:val="20"/>
          <w:lang w:val="uk-UA"/>
        </w:rPr>
        <w:t xml:space="preserve">Інтенсивно процеси реструктуризації та реорганізації відбувались в США і Великобританія, країни західної Європи і Японія до 1990-х років характеризувалися низькою активністю даних процесів. </w:t>
      </w:r>
    </w:p>
    <w:p w:rsidR="00E02E43" w:rsidRPr="00717747" w:rsidRDefault="00E02E43" w:rsidP="00E02E43">
      <w:pPr>
        <w:spacing w:after="0" w:line="240" w:lineRule="auto"/>
        <w:ind w:firstLine="709"/>
        <w:jc w:val="both"/>
        <w:rPr>
          <w:sz w:val="20"/>
          <w:szCs w:val="20"/>
          <w:lang w:val="uk-UA"/>
        </w:rPr>
      </w:pPr>
      <w:r w:rsidRPr="00717747">
        <w:rPr>
          <w:sz w:val="20"/>
          <w:szCs w:val="20"/>
          <w:lang w:val="uk-UA"/>
        </w:rPr>
        <w:t>Аналізуючи зарубіжний досвід, варто звернути увагу все-таки на європейський ринок злиття і поглинання в банківській сфері, де ключовим специфічним фактором, що стимулює цю активність є введення єдиної європейської валюти (євро) [</w:t>
      </w:r>
      <w:r w:rsidR="008C6722" w:rsidRPr="008C6722">
        <w:rPr>
          <w:sz w:val="20"/>
          <w:szCs w:val="20"/>
          <w:lang w:val="uk-UA"/>
        </w:rPr>
        <w:t>5</w:t>
      </w:r>
      <w:r w:rsidRPr="00717747">
        <w:rPr>
          <w:sz w:val="20"/>
          <w:szCs w:val="20"/>
          <w:lang w:val="uk-UA"/>
        </w:rPr>
        <w:t>].</w:t>
      </w:r>
    </w:p>
    <w:p w:rsidR="00E02E43" w:rsidRPr="00717747" w:rsidRDefault="00E02E43" w:rsidP="00E02E43">
      <w:pPr>
        <w:spacing w:after="0" w:line="240" w:lineRule="auto"/>
        <w:ind w:firstLine="709"/>
        <w:jc w:val="both"/>
        <w:rPr>
          <w:sz w:val="20"/>
          <w:szCs w:val="20"/>
          <w:lang w:val="uk-UA"/>
        </w:rPr>
      </w:pPr>
      <w:r w:rsidRPr="00717747">
        <w:rPr>
          <w:sz w:val="20"/>
          <w:szCs w:val="20"/>
          <w:lang w:val="uk-UA"/>
        </w:rPr>
        <w:t>Європейський центральний банк виділяє чотири мотиви для злиття у фінансовому секторі загалом та у</w:t>
      </w:r>
      <w:r w:rsidR="008C6722">
        <w:rPr>
          <w:sz w:val="20"/>
          <w:szCs w:val="20"/>
          <w:lang w:val="uk-UA"/>
        </w:rPr>
        <w:t xml:space="preserve"> банківському зокрема [</w:t>
      </w:r>
      <w:r w:rsidR="008C6722" w:rsidRPr="008C6722">
        <w:rPr>
          <w:sz w:val="20"/>
          <w:szCs w:val="20"/>
          <w:lang w:val="uk-UA"/>
        </w:rPr>
        <w:t>5</w:t>
      </w:r>
      <w:r w:rsidRPr="00717747">
        <w:rPr>
          <w:sz w:val="20"/>
          <w:szCs w:val="20"/>
          <w:lang w:val="uk-UA"/>
        </w:rPr>
        <w:t>]: підвищення ефективності та прибутковості; розширення асортименту і клієнтської бази; експансія в інші регіони; максимізація акціонерної вартості.</w:t>
      </w:r>
    </w:p>
    <w:p w:rsidR="00E82DB0" w:rsidRPr="00E80871" w:rsidRDefault="00E82DB0" w:rsidP="00E82DB0">
      <w:pPr>
        <w:tabs>
          <w:tab w:val="left" w:pos="142"/>
        </w:tabs>
        <w:spacing w:after="0" w:line="240" w:lineRule="auto"/>
        <w:ind w:firstLine="709"/>
        <w:jc w:val="both"/>
        <w:rPr>
          <w:sz w:val="20"/>
          <w:szCs w:val="20"/>
          <w:lang w:val="uk-UA"/>
        </w:rPr>
      </w:pPr>
      <w:r w:rsidRPr="00E80871">
        <w:rPr>
          <w:sz w:val="20"/>
          <w:szCs w:val="20"/>
          <w:lang w:val="uk-UA"/>
        </w:rPr>
        <w:t>За період існування Європейського Союзу в різних країнах суттєво скоротилася кількість банків, а саме: в Німеччині – на  1416, у Франції – на 674, в Нідерландах – на 395, в Італії – на 252, в Австрії – на 177, в Іспанії – на 166, у Великобританії – на 162, в Данії – на 92, в Португалії – на 79 тощо [</w:t>
      </w:r>
      <w:r w:rsidR="008C6722" w:rsidRPr="00E80871">
        <w:rPr>
          <w:sz w:val="20"/>
          <w:szCs w:val="20"/>
          <w:lang w:val="uk-UA"/>
        </w:rPr>
        <w:t>5</w:t>
      </w:r>
      <w:r w:rsidRPr="00E80871">
        <w:rPr>
          <w:sz w:val="20"/>
          <w:szCs w:val="20"/>
          <w:lang w:val="uk-UA"/>
        </w:rPr>
        <w:t xml:space="preserve">] (табл. </w:t>
      </w:r>
      <w:r w:rsidR="00EF72E7" w:rsidRPr="00E80871">
        <w:rPr>
          <w:sz w:val="20"/>
          <w:szCs w:val="20"/>
          <w:lang w:val="uk-UA"/>
        </w:rPr>
        <w:t>2</w:t>
      </w:r>
      <w:r w:rsidRPr="00E80871">
        <w:rPr>
          <w:sz w:val="20"/>
          <w:szCs w:val="20"/>
          <w:lang w:val="uk-UA"/>
        </w:rPr>
        <w:t>):</w:t>
      </w:r>
    </w:p>
    <w:p w:rsidR="00E82DB0" w:rsidRPr="00717747" w:rsidRDefault="00E82DB0" w:rsidP="00E82DB0">
      <w:pPr>
        <w:tabs>
          <w:tab w:val="left" w:pos="142"/>
        </w:tabs>
        <w:spacing w:after="0" w:line="240" w:lineRule="auto"/>
        <w:jc w:val="right"/>
        <w:rPr>
          <w:sz w:val="20"/>
          <w:szCs w:val="20"/>
          <w:lang w:val="uk-UA"/>
        </w:rPr>
      </w:pPr>
      <w:r w:rsidRPr="00717747">
        <w:rPr>
          <w:sz w:val="20"/>
          <w:szCs w:val="20"/>
          <w:lang w:val="uk-UA"/>
        </w:rPr>
        <w:t xml:space="preserve">Таблиця </w:t>
      </w:r>
      <w:r w:rsidR="00EF72E7">
        <w:rPr>
          <w:sz w:val="20"/>
          <w:szCs w:val="20"/>
          <w:lang w:val="uk-UA"/>
        </w:rPr>
        <w:t>2</w:t>
      </w:r>
    </w:p>
    <w:p w:rsidR="00E82DB0" w:rsidRPr="00717747" w:rsidRDefault="00E82DB0" w:rsidP="00E82DB0">
      <w:pPr>
        <w:tabs>
          <w:tab w:val="left" w:pos="142"/>
        </w:tabs>
        <w:spacing w:after="0" w:line="360" w:lineRule="auto"/>
        <w:jc w:val="center"/>
        <w:rPr>
          <w:sz w:val="20"/>
          <w:szCs w:val="20"/>
          <w:lang w:val="uk-UA"/>
        </w:rPr>
      </w:pPr>
      <w:r w:rsidRPr="00717747">
        <w:rPr>
          <w:sz w:val="20"/>
          <w:szCs w:val="20"/>
          <w:lang w:val="uk-UA"/>
        </w:rPr>
        <w:t>Скорочення кількості банків в європейських країнах, ХХ-</w:t>
      </w:r>
      <w:r w:rsidRPr="00717747">
        <w:rPr>
          <w:sz w:val="20"/>
          <w:szCs w:val="20"/>
          <w:lang w:val="en-US"/>
        </w:rPr>
        <w:t>XXI</w:t>
      </w:r>
      <w:r w:rsidRPr="00717747">
        <w:rPr>
          <w:sz w:val="20"/>
          <w:szCs w:val="20"/>
          <w:lang w:val="uk-UA"/>
        </w:rPr>
        <w:t xml:space="preserve"> ст.</w:t>
      </w:r>
    </w:p>
    <w:tbl>
      <w:tblPr>
        <w:tblStyle w:val="a3"/>
        <w:tblW w:w="0" w:type="auto"/>
        <w:tblInd w:w="108" w:type="dxa"/>
        <w:tblLook w:val="04A0" w:firstRow="1" w:lastRow="0" w:firstColumn="1" w:lastColumn="0" w:noHBand="0" w:noVBand="1"/>
      </w:tblPr>
      <w:tblGrid>
        <w:gridCol w:w="1843"/>
        <w:gridCol w:w="3016"/>
        <w:gridCol w:w="2459"/>
        <w:gridCol w:w="2428"/>
      </w:tblGrid>
      <w:tr w:rsidR="00E82DB0" w:rsidRPr="001D31E2" w:rsidTr="00EF72E7">
        <w:trPr>
          <w:trHeight w:val="511"/>
        </w:trPr>
        <w:tc>
          <w:tcPr>
            <w:tcW w:w="1843" w:type="dxa"/>
            <w:vAlign w:val="center"/>
          </w:tcPr>
          <w:p w:rsidR="00E82DB0" w:rsidRPr="00E80871" w:rsidRDefault="00E82DB0" w:rsidP="00EF72E7">
            <w:pPr>
              <w:tabs>
                <w:tab w:val="left" w:pos="142"/>
              </w:tabs>
              <w:jc w:val="center"/>
              <w:rPr>
                <w:sz w:val="18"/>
                <w:szCs w:val="20"/>
                <w:lang w:val="uk-UA"/>
              </w:rPr>
            </w:pPr>
            <w:r w:rsidRPr="00E80871">
              <w:rPr>
                <w:sz w:val="18"/>
                <w:szCs w:val="20"/>
                <w:lang w:val="uk-UA"/>
              </w:rPr>
              <w:t>Країни</w:t>
            </w:r>
          </w:p>
        </w:tc>
        <w:tc>
          <w:tcPr>
            <w:tcW w:w="3016" w:type="dxa"/>
            <w:vAlign w:val="center"/>
          </w:tcPr>
          <w:p w:rsidR="00E82DB0" w:rsidRPr="00E80871" w:rsidRDefault="00E82DB0" w:rsidP="00EF72E7">
            <w:pPr>
              <w:tabs>
                <w:tab w:val="left" w:pos="142"/>
              </w:tabs>
              <w:jc w:val="center"/>
              <w:rPr>
                <w:sz w:val="18"/>
                <w:szCs w:val="20"/>
                <w:lang w:val="uk-UA"/>
              </w:rPr>
            </w:pPr>
            <w:r w:rsidRPr="00E80871">
              <w:rPr>
                <w:sz w:val="18"/>
                <w:szCs w:val="20"/>
                <w:lang w:val="uk-UA"/>
              </w:rPr>
              <w:t>Кількість банків, що було скорочено</w:t>
            </w:r>
          </w:p>
        </w:tc>
        <w:tc>
          <w:tcPr>
            <w:tcW w:w="2459" w:type="dxa"/>
            <w:vAlign w:val="center"/>
          </w:tcPr>
          <w:p w:rsidR="00E82DB0" w:rsidRPr="00E80871" w:rsidRDefault="00E82DB0" w:rsidP="00EF72E7">
            <w:pPr>
              <w:tabs>
                <w:tab w:val="left" w:pos="142"/>
              </w:tabs>
              <w:jc w:val="center"/>
              <w:rPr>
                <w:sz w:val="18"/>
                <w:szCs w:val="20"/>
                <w:lang w:val="uk-UA"/>
              </w:rPr>
            </w:pPr>
            <w:r w:rsidRPr="00E80871">
              <w:rPr>
                <w:sz w:val="18"/>
                <w:szCs w:val="20"/>
                <w:lang w:val="uk-UA"/>
              </w:rPr>
              <w:t>Країни</w:t>
            </w:r>
          </w:p>
        </w:tc>
        <w:tc>
          <w:tcPr>
            <w:tcW w:w="2428" w:type="dxa"/>
            <w:vAlign w:val="center"/>
          </w:tcPr>
          <w:p w:rsidR="00E82DB0" w:rsidRPr="00E80871" w:rsidRDefault="00E82DB0" w:rsidP="00EF72E7">
            <w:pPr>
              <w:tabs>
                <w:tab w:val="left" w:pos="142"/>
              </w:tabs>
              <w:jc w:val="center"/>
              <w:rPr>
                <w:sz w:val="18"/>
                <w:szCs w:val="20"/>
                <w:lang w:val="uk-UA"/>
              </w:rPr>
            </w:pPr>
            <w:r w:rsidRPr="00E80871">
              <w:rPr>
                <w:sz w:val="18"/>
                <w:szCs w:val="20"/>
                <w:lang w:val="uk-UA"/>
              </w:rPr>
              <w:t>Кількість банків, що було скорочено</w:t>
            </w:r>
          </w:p>
        </w:tc>
      </w:tr>
      <w:tr w:rsidR="00E82DB0" w:rsidRPr="001D31E2" w:rsidTr="00EF72E7">
        <w:trPr>
          <w:trHeight w:val="222"/>
        </w:trPr>
        <w:tc>
          <w:tcPr>
            <w:tcW w:w="1843"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Німеччина</w:t>
            </w:r>
          </w:p>
        </w:tc>
        <w:tc>
          <w:tcPr>
            <w:tcW w:w="3016"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1416</w:t>
            </w:r>
          </w:p>
        </w:tc>
        <w:tc>
          <w:tcPr>
            <w:tcW w:w="2459"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Іспанія</w:t>
            </w:r>
          </w:p>
        </w:tc>
        <w:tc>
          <w:tcPr>
            <w:tcW w:w="2428"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166</w:t>
            </w:r>
          </w:p>
        </w:tc>
      </w:tr>
      <w:tr w:rsidR="00E82DB0" w:rsidRPr="001D31E2" w:rsidTr="00EF72E7">
        <w:trPr>
          <w:trHeight w:val="242"/>
        </w:trPr>
        <w:tc>
          <w:tcPr>
            <w:tcW w:w="1843"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Франція</w:t>
            </w:r>
          </w:p>
        </w:tc>
        <w:tc>
          <w:tcPr>
            <w:tcW w:w="3016"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674</w:t>
            </w:r>
          </w:p>
        </w:tc>
        <w:tc>
          <w:tcPr>
            <w:tcW w:w="2459"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Великобританія</w:t>
            </w:r>
          </w:p>
        </w:tc>
        <w:tc>
          <w:tcPr>
            <w:tcW w:w="2428"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162</w:t>
            </w:r>
          </w:p>
        </w:tc>
      </w:tr>
      <w:tr w:rsidR="00E82DB0" w:rsidRPr="001D31E2" w:rsidTr="00EF72E7">
        <w:trPr>
          <w:trHeight w:val="259"/>
        </w:trPr>
        <w:tc>
          <w:tcPr>
            <w:tcW w:w="1843"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Нідерланди</w:t>
            </w:r>
          </w:p>
        </w:tc>
        <w:tc>
          <w:tcPr>
            <w:tcW w:w="3016"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395</w:t>
            </w:r>
          </w:p>
        </w:tc>
        <w:tc>
          <w:tcPr>
            <w:tcW w:w="2459"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Данія</w:t>
            </w:r>
          </w:p>
        </w:tc>
        <w:tc>
          <w:tcPr>
            <w:tcW w:w="2428"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92</w:t>
            </w:r>
          </w:p>
        </w:tc>
      </w:tr>
      <w:tr w:rsidR="00E82DB0" w:rsidRPr="001D31E2" w:rsidTr="00EF72E7">
        <w:trPr>
          <w:trHeight w:val="217"/>
        </w:trPr>
        <w:tc>
          <w:tcPr>
            <w:tcW w:w="1843"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Італія</w:t>
            </w:r>
          </w:p>
        </w:tc>
        <w:tc>
          <w:tcPr>
            <w:tcW w:w="3016"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252</w:t>
            </w:r>
          </w:p>
        </w:tc>
        <w:tc>
          <w:tcPr>
            <w:tcW w:w="2459"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Португалія</w:t>
            </w:r>
          </w:p>
        </w:tc>
        <w:tc>
          <w:tcPr>
            <w:tcW w:w="2428"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79</w:t>
            </w:r>
          </w:p>
        </w:tc>
      </w:tr>
      <w:tr w:rsidR="00E82DB0" w:rsidRPr="001D31E2" w:rsidTr="00EF72E7">
        <w:trPr>
          <w:trHeight w:val="135"/>
        </w:trPr>
        <w:tc>
          <w:tcPr>
            <w:tcW w:w="1843"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Австрія</w:t>
            </w:r>
          </w:p>
        </w:tc>
        <w:tc>
          <w:tcPr>
            <w:tcW w:w="3016" w:type="dxa"/>
            <w:vAlign w:val="center"/>
          </w:tcPr>
          <w:p w:rsidR="00E82DB0" w:rsidRPr="001D31E2" w:rsidRDefault="00E82DB0" w:rsidP="00EF72E7">
            <w:pPr>
              <w:tabs>
                <w:tab w:val="left" w:pos="142"/>
              </w:tabs>
              <w:jc w:val="center"/>
              <w:rPr>
                <w:sz w:val="18"/>
                <w:szCs w:val="20"/>
                <w:lang w:val="uk-UA"/>
              </w:rPr>
            </w:pPr>
            <w:r w:rsidRPr="001D31E2">
              <w:rPr>
                <w:sz w:val="18"/>
                <w:szCs w:val="20"/>
                <w:lang w:val="uk-UA"/>
              </w:rPr>
              <w:t>177</w:t>
            </w:r>
          </w:p>
        </w:tc>
        <w:tc>
          <w:tcPr>
            <w:tcW w:w="2459" w:type="dxa"/>
            <w:vAlign w:val="center"/>
          </w:tcPr>
          <w:p w:rsidR="00E82DB0" w:rsidRPr="001D31E2" w:rsidRDefault="00E82DB0" w:rsidP="00EF72E7">
            <w:pPr>
              <w:tabs>
                <w:tab w:val="left" w:pos="142"/>
              </w:tabs>
              <w:jc w:val="center"/>
              <w:rPr>
                <w:sz w:val="18"/>
                <w:szCs w:val="20"/>
                <w:lang w:val="uk-UA"/>
              </w:rPr>
            </w:pPr>
          </w:p>
        </w:tc>
        <w:tc>
          <w:tcPr>
            <w:tcW w:w="2428" w:type="dxa"/>
            <w:vAlign w:val="center"/>
          </w:tcPr>
          <w:p w:rsidR="00E82DB0" w:rsidRPr="001D31E2" w:rsidRDefault="00E82DB0" w:rsidP="00EF72E7">
            <w:pPr>
              <w:tabs>
                <w:tab w:val="left" w:pos="142"/>
              </w:tabs>
              <w:jc w:val="center"/>
              <w:rPr>
                <w:sz w:val="18"/>
                <w:szCs w:val="20"/>
                <w:lang w:val="uk-UA"/>
              </w:rPr>
            </w:pPr>
          </w:p>
        </w:tc>
      </w:tr>
    </w:tbl>
    <w:p w:rsidR="00E82DB0" w:rsidRPr="0082109D" w:rsidRDefault="00E82DB0" w:rsidP="00E82DB0">
      <w:pPr>
        <w:spacing w:after="0" w:line="360" w:lineRule="auto"/>
        <w:jc w:val="both"/>
        <w:rPr>
          <w:sz w:val="18"/>
          <w:szCs w:val="20"/>
          <w:lang w:val="uk-UA"/>
        </w:rPr>
      </w:pPr>
      <w:r w:rsidRPr="0082109D">
        <w:rPr>
          <w:color w:val="auto"/>
          <w:sz w:val="18"/>
          <w:szCs w:val="20"/>
          <w:lang w:val="uk-UA"/>
        </w:rPr>
        <w:t xml:space="preserve">Примітка. Складено автором на основі </w:t>
      </w:r>
      <w:r w:rsidRPr="0082109D">
        <w:rPr>
          <w:sz w:val="18"/>
          <w:szCs w:val="20"/>
          <w:lang w:val="uk-UA"/>
        </w:rPr>
        <w:t>[</w:t>
      </w:r>
      <w:r w:rsidR="008C6722" w:rsidRPr="00B65902">
        <w:rPr>
          <w:sz w:val="18"/>
          <w:szCs w:val="20"/>
        </w:rPr>
        <w:t>5</w:t>
      </w:r>
      <w:r w:rsidRPr="0082109D">
        <w:rPr>
          <w:sz w:val="18"/>
          <w:szCs w:val="20"/>
          <w:lang w:val="uk-UA"/>
        </w:rPr>
        <w:t>]</w:t>
      </w:r>
    </w:p>
    <w:p w:rsidR="00E82DB0" w:rsidRPr="00717747" w:rsidRDefault="00E82DB0" w:rsidP="00E82DB0">
      <w:pPr>
        <w:tabs>
          <w:tab w:val="left" w:pos="142"/>
        </w:tabs>
        <w:spacing w:after="0" w:line="240" w:lineRule="auto"/>
        <w:ind w:firstLine="709"/>
        <w:jc w:val="both"/>
        <w:rPr>
          <w:sz w:val="20"/>
          <w:szCs w:val="20"/>
          <w:lang w:val="uk-UA"/>
        </w:rPr>
      </w:pPr>
      <w:r w:rsidRPr="00717747">
        <w:rPr>
          <w:sz w:val="20"/>
          <w:szCs w:val="20"/>
          <w:lang w:val="uk-UA"/>
        </w:rPr>
        <w:t xml:space="preserve">Протягом останніх п’яти років найбільш концентрованими вважаються банківські системи таких країн світу, як: Нідерланди (частка активів п’яти найбільших банків у сукупному обсязі активів складає 93 %), Австралія (90 %), Німеччина (85 %), Канада (84 %), Іспанія (80 %), Великобританія (77 %), Корея (74 %), Мексика (72 %), Італія (71 %), Малайзія (67 %), Філіппіни (67 %). </w:t>
      </w:r>
    </w:p>
    <w:p w:rsidR="00E82DB0" w:rsidRPr="00717747" w:rsidRDefault="00E82DB0" w:rsidP="00E82DB0">
      <w:pPr>
        <w:tabs>
          <w:tab w:val="left" w:pos="142"/>
        </w:tabs>
        <w:spacing w:after="0" w:line="240" w:lineRule="auto"/>
        <w:ind w:firstLine="709"/>
        <w:jc w:val="both"/>
        <w:rPr>
          <w:sz w:val="20"/>
          <w:szCs w:val="20"/>
          <w:lang w:val="uk-UA"/>
        </w:rPr>
      </w:pPr>
      <w:r w:rsidRPr="00C2107A">
        <w:rPr>
          <w:sz w:val="20"/>
          <w:szCs w:val="20"/>
          <w:lang w:val="uk-UA"/>
        </w:rPr>
        <w:t xml:space="preserve">Найбільша кількість угод М&amp;A між банками </w:t>
      </w:r>
      <w:r w:rsidRPr="00717747">
        <w:rPr>
          <w:sz w:val="20"/>
          <w:szCs w:val="20"/>
          <w:lang w:val="uk-UA"/>
        </w:rPr>
        <w:t>на світовому ринку була укладена у</w:t>
      </w:r>
      <w:r w:rsidRPr="00C2107A">
        <w:rPr>
          <w:sz w:val="20"/>
          <w:szCs w:val="20"/>
          <w:lang w:val="uk-UA"/>
        </w:rPr>
        <w:t>1999 р</w:t>
      </w:r>
      <w:r w:rsidRPr="00717747">
        <w:rPr>
          <w:sz w:val="20"/>
          <w:szCs w:val="20"/>
          <w:lang w:val="uk-UA"/>
        </w:rPr>
        <w:t>оці</w:t>
      </w:r>
      <w:r w:rsidRPr="00C2107A">
        <w:rPr>
          <w:sz w:val="20"/>
          <w:szCs w:val="20"/>
          <w:lang w:val="uk-UA"/>
        </w:rPr>
        <w:t xml:space="preserve"> (близько </w:t>
      </w:r>
      <w:r w:rsidRPr="00717747">
        <w:rPr>
          <w:sz w:val="20"/>
          <w:szCs w:val="20"/>
          <w:lang w:val="uk-UA"/>
        </w:rPr>
        <w:t>1</w:t>
      </w:r>
      <w:r w:rsidRPr="00C2107A">
        <w:rPr>
          <w:sz w:val="20"/>
          <w:szCs w:val="20"/>
          <w:lang w:val="uk-UA"/>
        </w:rPr>
        <w:t>750 угод вартістю 570 млрд</w:t>
      </w:r>
      <w:r w:rsidRPr="00717747">
        <w:rPr>
          <w:sz w:val="20"/>
          <w:szCs w:val="20"/>
          <w:lang w:val="uk-UA"/>
        </w:rPr>
        <w:t>.</w:t>
      </w:r>
      <w:r w:rsidRPr="00C2107A">
        <w:rPr>
          <w:sz w:val="20"/>
          <w:szCs w:val="20"/>
          <w:lang w:val="uk-UA"/>
        </w:rPr>
        <w:t xml:space="preserve"> дол.</w:t>
      </w:r>
      <w:r w:rsidRPr="00717747">
        <w:rPr>
          <w:sz w:val="20"/>
          <w:szCs w:val="20"/>
          <w:lang w:val="uk-UA"/>
        </w:rPr>
        <w:t xml:space="preserve"> США</w:t>
      </w:r>
      <w:r w:rsidRPr="00C2107A">
        <w:rPr>
          <w:sz w:val="20"/>
          <w:szCs w:val="20"/>
          <w:lang w:val="uk-UA"/>
        </w:rPr>
        <w:t xml:space="preserve">) та </w:t>
      </w:r>
      <w:r w:rsidRPr="00717747">
        <w:rPr>
          <w:sz w:val="20"/>
          <w:szCs w:val="20"/>
          <w:lang w:val="uk-UA"/>
        </w:rPr>
        <w:t>у</w:t>
      </w:r>
      <w:r w:rsidRPr="00C2107A">
        <w:rPr>
          <w:sz w:val="20"/>
          <w:szCs w:val="20"/>
          <w:lang w:val="uk-UA"/>
        </w:rPr>
        <w:t xml:space="preserve"> 2007 р</w:t>
      </w:r>
      <w:r w:rsidRPr="00717747">
        <w:rPr>
          <w:sz w:val="20"/>
          <w:szCs w:val="20"/>
          <w:lang w:val="uk-UA"/>
        </w:rPr>
        <w:t>оці</w:t>
      </w:r>
      <w:r w:rsidRPr="00C2107A">
        <w:rPr>
          <w:sz w:val="20"/>
          <w:szCs w:val="20"/>
          <w:lang w:val="uk-UA"/>
        </w:rPr>
        <w:t xml:space="preserve"> (близько 1500 угод вартістю 560 млрд</w:t>
      </w:r>
      <w:r w:rsidRPr="00717747">
        <w:rPr>
          <w:sz w:val="20"/>
          <w:szCs w:val="20"/>
          <w:lang w:val="uk-UA"/>
        </w:rPr>
        <w:t>.</w:t>
      </w:r>
      <w:r w:rsidRPr="00C2107A">
        <w:rPr>
          <w:sz w:val="20"/>
          <w:szCs w:val="20"/>
          <w:lang w:val="uk-UA"/>
        </w:rPr>
        <w:t xml:space="preserve"> дол.</w:t>
      </w:r>
      <w:r w:rsidRPr="00717747">
        <w:rPr>
          <w:sz w:val="20"/>
          <w:szCs w:val="20"/>
          <w:lang w:val="uk-UA"/>
        </w:rPr>
        <w:t xml:space="preserve"> США</w:t>
      </w:r>
      <w:r w:rsidRPr="00C2107A">
        <w:rPr>
          <w:sz w:val="20"/>
          <w:szCs w:val="20"/>
          <w:lang w:val="uk-UA"/>
        </w:rPr>
        <w:t>)</w:t>
      </w:r>
      <w:r w:rsidRPr="00717747">
        <w:rPr>
          <w:sz w:val="20"/>
          <w:szCs w:val="20"/>
          <w:lang w:val="uk-UA"/>
        </w:rPr>
        <w:t xml:space="preserve"> </w:t>
      </w:r>
      <w:r w:rsidRPr="00C2107A">
        <w:rPr>
          <w:sz w:val="20"/>
          <w:szCs w:val="20"/>
          <w:lang w:val="uk-UA"/>
        </w:rPr>
        <w:t>[</w:t>
      </w:r>
      <w:r w:rsidRPr="00717747">
        <w:rPr>
          <w:sz w:val="20"/>
          <w:szCs w:val="20"/>
          <w:lang w:val="uk-UA"/>
        </w:rPr>
        <w:t>6, с.8</w:t>
      </w:r>
      <w:r w:rsidRPr="00C2107A">
        <w:rPr>
          <w:sz w:val="20"/>
          <w:szCs w:val="20"/>
          <w:lang w:val="uk-UA"/>
        </w:rPr>
        <w:t>].</w:t>
      </w:r>
    </w:p>
    <w:p w:rsidR="00E82DB0" w:rsidRPr="00717747" w:rsidRDefault="00E82DB0" w:rsidP="00E82DB0">
      <w:pPr>
        <w:pStyle w:val="a6"/>
        <w:spacing w:after="0" w:line="240" w:lineRule="auto"/>
        <w:ind w:left="0" w:firstLine="709"/>
        <w:jc w:val="both"/>
        <w:rPr>
          <w:color w:val="auto"/>
          <w:sz w:val="20"/>
          <w:szCs w:val="20"/>
          <w:lang w:val="uk-UA" w:eastAsia="ru-RU"/>
        </w:rPr>
      </w:pPr>
      <w:r w:rsidRPr="00717747">
        <w:rPr>
          <w:sz w:val="20"/>
          <w:szCs w:val="20"/>
          <w:lang w:val="uk-UA"/>
        </w:rPr>
        <w:t xml:space="preserve">Так, на конференції «Європейська банківська індустрія: що далі?», що проходила 7 липня 2016 року у Мадриді, віце-президент </w:t>
      </w:r>
      <w:proofErr w:type="spellStart"/>
      <w:r w:rsidRPr="00717747">
        <w:rPr>
          <w:sz w:val="20"/>
          <w:szCs w:val="20"/>
          <w:lang w:val="uk-UA"/>
        </w:rPr>
        <w:t>Європейсього</w:t>
      </w:r>
      <w:proofErr w:type="spellEnd"/>
      <w:r w:rsidRPr="00717747">
        <w:rPr>
          <w:sz w:val="20"/>
          <w:szCs w:val="20"/>
          <w:lang w:val="uk-UA"/>
        </w:rPr>
        <w:t xml:space="preserve"> центрального банку </w:t>
      </w:r>
      <w:proofErr w:type="spellStart"/>
      <w:r w:rsidRPr="00717747">
        <w:rPr>
          <w:sz w:val="20"/>
          <w:szCs w:val="20"/>
          <w:lang w:val="uk-UA"/>
        </w:rPr>
        <w:t>Вітор</w:t>
      </w:r>
      <w:proofErr w:type="spellEnd"/>
      <w:r w:rsidRPr="00717747">
        <w:rPr>
          <w:sz w:val="20"/>
          <w:szCs w:val="20"/>
          <w:lang w:val="uk-UA"/>
        </w:rPr>
        <w:t xml:space="preserve"> </w:t>
      </w:r>
      <w:proofErr w:type="spellStart"/>
      <w:r w:rsidRPr="00717747">
        <w:rPr>
          <w:sz w:val="20"/>
          <w:szCs w:val="20"/>
          <w:lang w:val="uk-UA"/>
        </w:rPr>
        <w:t>Констаньйо</w:t>
      </w:r>
      <w:proofErr w:type="spellEnd"/>
      <w:r w:rsidRPr="00717747">
        <w:rPr>
          <w:sz w:val="20"/>
          <w:szCs w:val="20"/>
          <w:lang w:val="uk-UA"/>
        </w:rPr>
        <w:t xml:space="preserve"> окреслив сучасні виклики для європейської банківської галузі. Так, </w:t>
      </w:r>
      <w:proofErr w:type="spellStart"/>
      <w:r w:rsidRPr="00717747">
        <w:rPr>
          <w:sz w:val="20"/>
          <w:szCs w:val="20"/>
          <w:lang w:val="uk-UA"/>
        </w:rPr>
        <w:t>Вітор</w:t>
      </w:r>
      <w:proofErr w:type="spellEnd"/>
      <w:r w:rsidRPr="00717747">
        <w:rPr>
          <w:sz w:val="20"/>
          <w:szCs w:val="20"/>
          <w:lang w:val="uk-UA"/>
        </w:rPr>
        <w:t xml:space="preserve"> </w:t>
      </w:r>
      <w:proofErr w:type="spellStart"/>
      <w:r w:rsidRPr="00717747">
        <w:rPr>
          <w:sz w:val="20"/>
          <w:szCs w:val="20"/>
          <w:lang w:val="uk-UA"/>
        </w:rPr>
        <w:t>Констаньйо</w:t>
      </w:r>
      <w:proofErr w:type="spellEnd"/>
      <w:r w:rsidRPr="00717747">
        <w:rPr>
          <w:sz w:val="20"/>
          <w:szCs w:val="20"/>
          <w:lang w:val="uk-UA"/>
        </w:rPr>
        <w:t xml:space="preserve"> зазначив, що </w:t>
      </w:r>
      <w:r w:rsidRPr="00717747">
        <w:rPr>
          <w:color w:val="auto"/>
          <w:sz w:val="20"/>
          <w:szCs w:val="20"/>
          <w:lang w:val="uk-UA" w:eastAsia="ru-RU"/>
        </w:rPr>
        <w:t>надмірна спроможність в європейському банківському секторі означає, що ця сфера має продовжувати скорочуватися в майбутньому</w:t>
      </w:r>
      <w:r w:rsidR="008C6722" w:rsidRPr="008C6722">
        <w:rPr>
          <w:color w:val="auto"/>
          <w:sz w:val="20"/>
          <w:szCs w:val="20"/>
          <w:lang w:eastAsia="ru-RU"/>
        </w:rPr>
        <w:t xml:space="preserve"> [4]</w:t>
      </w:r>
      <w:r w:rsidRPr="00717747">
        <w:rPr>
          <w:color w:val="auto"/>
          <w:sz w:val="20"/>
          <w:szCs w:val="20"/>
          <w:lang w:val="uk-UA" w:eastAsia="ru-RU"/>
        </w:rPr>
        <w:t xml:space="preserve">. </w:t>
      </w:r>
    </w:p>
    <w:p w:rsidR="00E82DB0" w:rsidRPr="00717747" w:rsidRDefault="00E82DB0" w:rsidP="00E82DB0">
      <w:pPr>
        <w:pStyle w:val="a6"/>
        <w:spacing w:after="0" w:line="240" w:lineRule="auto"/>
        <w:ind w:left="0" w:firstLine="709"/>
        <w:jc w:val="both"/>
        <w:rPr>
          <w:sz w:val="20"/>
          <w:szCs w:val="20"/>
          <w:lang w:val="uk-UA"/>
        </w:rPr>
      </w:pPr>
      <w:r w:rsidRPr="00717747">
        <w:rPr>
          <w:color w:val="auto"/>
          <w:sz w:val="20"/>
          <w:szCs w:val="20"/>
          <w:lang w:val="uk-UA" w:eastAsia="ru-RU"/>
        </w:rPr>
        <w:t>Можливі способи консолідації в банківському секторі включають злиття та поглинання на внутрішніх та інші транскордонних ринках, скорочення бізнесів (особливо великими та складними банками), а також вирішення та упорядковані виходи</w:t>
      </w:r>
      <w:r w:rsidRPr="00717747">
        <w:rPr>
          <w:sz w:val="20"/>
          <w:szCs w:val="20"/>
          <w:lang w:val="uk-UA"/>
        </w:rPr>
        <w:t xml:space="preserve"> (рис. 1):</w:t>
      </w:r>
    </w:p>
    <w:p w:rsidR="00E82DB0" w:rsidRPr="00717747" w:rsidRDefault="00E82DB0" w:rsidP="00E82DB0">
      <w:pPr>
        <w:pStyle w:val="a6"/>
        <w:spacing w:after="0" w:line="240" w:lineRule="auto"/>
        <w:ind w:left="0"/>
        <w:jc w:val="both"/>
        <w:rPr>
          <w:sz w:val="20"/>
          <w:szCs w:val="20"/>
          <w:lang w:val="uk-UA"/>
        </w:rPr>
      </w:pPr>
      <w:r w:rsidRPr="00EF72E7">
        <w:rPr>
          <w:noProof/>
          <w:color w:val="auto"/>
          <w:sz w:val="20"/>
          <w:szCs w:val="20"/>
          <w:lang w:val="uk-UA" w:eastAsia="uk-UA"/>
        </w:rPr>
        <w:drawing>
          <wp:inline distT="0" distB="0" distL="0" distR="0" wp14:anchorId="42D9E79A" wp14:editId="3C96D812">
            <wp:extent cx="6121021" cy="2033516"/>
            <wp:effectExtent l="0" t="0" r="13335" b="24130"/>
            <wp:docPr id="2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82DB0" w:rsidRPr="001D31E2" w:rsidRDefault="00E82DB0" w:rsidP="00E82DB0">
      <w:pPr>
        <w:spacing w:after="0" w:line="240" w:lineRule="auto"/>
        <w:jc w:val="center"/>
        <w:rPr>
          <w:b/>
          <w:color w:val="auto"/>
          <w:sz w:val="20"/>
          <w:szCs w:val="20"/>
          <w:lang w:val="uk-UA"/>
        </w:rPr>
      </w:pPr>
      <w:r w:rsidRPr="001D31E2">
        <w:rPr>
          <w:b/>
          <w:color w:val="auto"/>
          <w:sz w:val="20"/>
          <w:szCs w:val="20"/>
          <w:lang w:val="uk-UA"/>
        </w:rPr>
        <w:t>Рис. 1. Динаміка кількості угод М</w:t>
      </w:r>
      <w:r w:rsidRPr="001D31E2">
        <w:rPr>
          <w:b/>
          <w:color w:val="auto"/>
          <w:sz w:val="20"/>
          <w:szCs w:val="20"/>
        </w:rPr>
        <w:t>&amp;</w:t>
      </w:r>
      <w:r w:rsidRPr="001D31E2">
        <w:rPr>
          <w:b/>
          <w:color w:val="auto"/>
          <w:sz w:val="20"/>
          <w:szCs w:val="20"/>
          <w:lang w:val="uk-UA"/>
        </w:rPr>
        <w:t xml:space="preserve">А </w:t>
      </w:r>
      <w:r w:rsidRPr="001D31E2">
        <w:rPr>
          <w:b/>
          <w:sz w:val="20"/>
          <w:szCs w:val="20"/>
          <w:lang w:val="uk-UA"/>
        </w:rPr>
        <w:t>в банківській сфері ЄС</w:t>
      </w:r>
      <w:r w:rsidR="001D31E2">
        <w:rPr>
          <w:b/>
          <w:color w:val="auto"/>
          <w:sz w:val="20"/>
          <w:szCs w:val="20"/>
          <w:lang w:val="uk-UA"/>
        </w:rPr>
        <w:t>, 2000-2017</w:t>
      </w:r>
      <w:r w:rsidRPr="001D31E2">
        <w:rPr>
          <w:b/>
          <w:color w:val="auto"/>
          <w:sz w:val="20"/>
          <w:szCs w:val="20"/>
          <w:lang w:val="uk-UA"/>
        </w:rPr>
        <w:t xml:space="preserve"> рр.</w:t>
      </w:r>
    </w:p>
    <w:p w:rsidR="00E82DB0" w:rsidRPr="0082109D" w:rsidRDefault="00E82DB0" w:rsidP="00E82DB0">
      <w:pPr>
        <w:spacing w:after="0" w:line="240" w:lineRule="auto"/>
        <w:jc w:val="both"/>
        <w:rPr>
          <w:sz w:val="18"/>
          <w:szCs w:val="20"/>
          <w:lang w:val="uk-UA"/>
        </w:rPr>
      </w:pPr>
      <w:r w:rsidRPr="0082109D">
        <w:rPr>
          <w:color w:val="auto"/>
          <w:sz w:val="18"/>
          <w:szCs w:val="20"/>
          <w:lang w:val="uk-UA"/>
        </w:rPr>
        <w:t>Примітка. Побудовано автором на основі</w:t>
      </w:r>
      <w:r w:rsidRPr="0082109D">
        <w:rPr>
          <w:color w:val="auto"/>
          <w:sz w:val="18"/>
          <w:szCs w:val="20"/>
        </w:rPr>
        <w:t xml:space="preserve"> </w:t>
      </w:r>
      <w:r w:rsidRPr="0082109D">
        <w:rPr>
          <w:sz w:val="18"/>
          <w:szCs w:val="20"/>
          <w:lang w:val="uk-UA"/>
        </w:rPr>
        <w:t>[</w:t>
      </w:r>
      <w:r w:rsidR="008C6722" w:rsidRPr="00B65902">
        <w:rPr>
          <w:sz w:val="18"/>
          <w:szCs w:val="20"/>
        </w:rPr>
        <w:t>5</w:t>
      </w:r>
      <w:r w:rsidRPr="0082109D">
        <w:rPr>
          <w:sz w:val="18"/>
          <w:szCs w:val="20"/>
          <w:lang w:val="uk-UA"/>
        </w:rPr>
        <w:t>]</w:t>
      </w:r>
    </w:p>
    <w:p w:rsidR="00E82DB0" w:rsidRPr="00717747" w:rsidRDefault="00E82DB0" w:rsidP="00E82DB0">
      <w:pPr>
        <w:spacing w:after="0" w:line="240" w:lineRule="auto"/>
        <w:jc w:val="both"/>
        <w:rPr>
          <w:color w:val="auto"/>
          <w:sz w:val="20"/>
          <w:szCs w:val="20"/>
          <w:lang w:val="uk-UA"/>
        </w:rPr>
      </w:pPr>
    </w:p>
    <w:p w:rsidR="00E82DB0" w:rsidRPr="00717747" w:rsidRDefault="00E82DB0" w:rsidP="00E82DB0">
      <w:pPr>
        <w:pStyle w:val="a6"/>
        <w:spacing w:after="0" w:line="240" w:lineRule="auto"/>
        <w:ind w:left="0" w:firstLine="709"/>
        <w:jc w:val="both"/>
        <w:rPr>
          <w:color w:val="auto"/>
          <w:sz w:val="20"/>
          <w:szCs w:val="20"/>
          <w:lang w:val="uk-UA" w:eastAsia="ru-RU"/>
        </w:rPr>
      </w:pPr>
      <w:r w:rsidRPr="00717747">
        <w:rPr>
          <w:color w:val="auto"/>
          <w:sz w:val="20"/>
          <w:szCs w:val="20"/>
          <w:lang w:val="uk-UA" w:eastAsia="ru-RU"/>
        </w:rPr>
        <w:t xml:space="preserve">Кількість угод M&amp;A в європейській банківській сфері супроводжується скороченням. Проте, як підкреслив </w:t>
      </w:r>
      <w:r w:rsidRPr="00717747">
        <w:rPr>
          <w:sz w:val="20"/>
          <w:szCs w:val="20"/>
          <w:lang w:val="uk-UA"/>
        </w:rPr>
        <w:t xml:space="preserve">віце-президент ЄЦБ </w:t>
      </w:r>
      <w:proofErr w:type="spellStart"/>
      <w:r w:rsidRPr="00717747">
        <w:rPr>
          <w:sz w:val="20"/>
          <w:szCs w:val="20"/>
          <w:lang w:val="uk-UA"/>
        </w:rPr>
        <w:t>Вітор</w:t>
      </w:r>
      <w:proofErr w:type="spellEnd"/>
      <w:r w:rsidRPr="00717747">
        <w:rPr>
          <w:sz w:val="20"/>
          <w:szCs w:val="20"/>
          <w:lang w:val="uk-UA"/>
        </w:rPr>
        <w:t xml:space="preserve"> </w:t>
      </w:r>
      <w:proofErr w:type="spellStart"/>
      <w:r w:rsidRPr="00717747">
        <w:rPr>
          <w:sz w:val="20"/>
          <w:szCs w:val="20"/>
          <w:lang w:val="uk-UA"/>
        </w:rPr>
        <w:t>Констаньйо</w:t>
      </w:r>
      <w:proofErr w:type="spellEnd"/>
      <w:r w:rsidRPr="00717747">
        <w:rPr>
          <w:sz w:val="20"/>
          <w:szCs w:val="20"/>
          <w:lang w:val="uk-UA"/>
        </w:rPr>
        <w:t xml:space="preserve">, злиття і поглинання </w:t>
      </w:r>
      <w:r w:rsidRPr="00717747">
        <w:rPr>
          <w:color w:val="auto"/>
          <w:sz w:val="20"/>
          <w:szCs w:val="20"/>
          <w:lang w:val="uk-UA" w:eastAsia="ru-RU"/>
        </w:rPr>
        <w:t xml:space="preserve">є найкращим варіантом консолідації в секторі. Для економіки зони євро потрібні великі та ефективні банки для управління та диверсифікації ризиків </w:t>
      </w:r>
      <w:r w:rsidRPr="00717747">
        <w:rPr>
          <w:color w:val="auto"/>
          <w:sz w:val="20"/>
          <w:szCs w:val="20"/>
          <w:lang w:val="uk-UA" w:eastAsia="ru-RU"/>
        </w:rPr>
        <w:lastRenderedPageBreak/>
        <w:t xml:space="preserve">на європейському єдиному ринку, але їх має бути небагато. Це допоможе використати всі переваги банківського союзу та покращити компроміс між фінансовою стабільністю та економічною ефективністю </w:t>
      </w:r>
      <w:r w:rsidRPr="00717747">
        <w:rPr>
          <w:sz w:val="20"/>
          <w:szCs w:val="20"/>
          <w:lang w:val="uk-UA"/>
        </w:rPr>
        <w:t>[109]</w:t>
      </w:r>
      <w:r w:rsidRPr="00717747">
        <w:rPr>
          <w:color w:val="auto"/>
          <w:sz w:val="20"/>
          <w:szCs w:val="20"/>
          <w:lang w:val="uk-UA" w:eastAsia="ru-RU"/>
        </w:rPr>
        <w:t>.</w:t>
      </w:r>
    </w:p>
    <w:p w:rsidR="00E02E43" w:rsidRPr="00717747" w:rsidRDefault="00E02E43" w:rsidP="00E02E43">
      <w:pPr>
        <w:spacing w:after="0" w:line="240" w:lineRule="auto"/>
        <w:ind w:firstLine="709"/>
        <w:jc w:val="both"/>
        <w:rPr>
          <w:sz w:val="20"/>
          <w:szCs w:val="20"/>
          <w:lang w:val="uk-UA"/>
        </w:rPr>
      </w:pPr>
      <w:r w:rsidRPr="00717747">
        <w:rPr>
          <w:sz w:val="20"/>
          <w:szCs w:val="20"/>
          <w:lang w:val="uk-UA"/>
        </w:rPr>
        <w:t>При аналізі процесів концентрації банків в країнах Євросоюзу слід враховувати також і такі труднощі:</w:t>
      </w:r>
    </w:p>
    <w:p w:rsidR="00E02E43" w:rsidRPr="00717747" w:rsidRDefault="00E02E43" w:rsidP="00E02E43">
      <w:pPr>
        <w:pStyle w:val="a6"/>
        <w:numPr>
          <w:ilvl w:val="0"/>
          <w:numId w:val="1"/>
        </w:numPr>
        <w:spacing w:after="0" w:line="240" w:lineRule="auto"/>
        <w:ind w:left="0" w:firstLine="709"/>
        <w:jc w:val="both"/>
        <w:rPr>
          <w:sz w:val="20"/>
          <w:szCs w:val="20"/>
          <w:lang w:val="uk-UA"/>
        </w:rPr>
      </w:pPr>
      <w:r w:rsidRPr="00717747">
        <w:rPr>
          <w:sz w:val="20"/>
          <w:szCs w:val="20"/>
          <w:lang w:val="uk-UA"/>
        </w:rPr>
        <w:t>незважаючи на активні інтеграційні процеси всередині регіону, місцеві органи влади зберігали за собою право мати нагляд і регулювання;</w:t>
      </w:r>
    </w:p>
    <w:p w:rsidR="00E02E43" w:rsidRPr="00717747" w:rsidRDefault="00E02E43" w:rsidP="00E02E43">
      <w:pPr>
        <w:pStyle w:val="a6"/>
        <w:numPr>
          <w:ilvl w:val="0"/>
          <w:numId w:val="1"/>
        </w:numPr>
        <w:spacing w:after="0" w:line="240" w:lineRule="auto"/>
        <w:ind w:left="0" w:firstLine="709"/>
        <w:jc w:val="both"/>
        <w:rPr>
          <w:sz w:val="20"/>
          <w:szCs w:val="20"/>
          <w:lang w:val="uk-UA"/>
        </w:rPr>
      </w:pPr>
      <w:r w:rsidRPr="00717747">
        <w:rPr>
          <w:sz w:val="20"/>
          <w:szCs w:val="20"/>
          <w:lang w:val="uk-UA"/>
        </w:rPr>
        <w:t>простежується жорстка позиція регуляторів при злитті і поглинання іноземними транснаціональними банківськими групами;</w:t>
      </w:r>
    </w:p>
    <w:p w:rsidR="00E02E43" w:rsidRPr="00717747" w:rsidRDefault="00E02E43" w:rsidP="00E02E43">
      <w:pPr>
        <w:pStyle w:val="a6"/>
        <w:numPr>
          <w:ilvl w:val="0"/>
          <w:numId w:val="1"/>
        </w:numPr>
        <w:spacing w:after="0" w:line="240" w:lineRule="auto"/>
        <w:ind w:left="0" w:firstLine="709"/>
        <w:jc w:val="both"/>
        <w:rPr>
          <w:sz w:val="20"/>
          <w:szCs w:val="20"/>
          <w:lang w:val="uk-UA"/>
        </w:rPr>
      </w:pPr>
      <w:r w:rsidRPr="00717747">
        <w:rPr>
          <w:sz w:val="20"/>
          <w:szCs w:val="20"/>
          <w:lang w:val="uk-UA"/>
        </w:rPr>
        <w:t>посилений рівень конкуренції з широкою мережею банків;</w:t>
      </w:r>
    </w:p>
    <w:p w:rsidR="00E02E43" w:rsidRPr="00717747" w:rsidRDefault="00E02E43" w:rsidP="00E02E43">
      <w:pPr>
        <w:pStyle w:val="a6"/>
        <w:numPr>
          <w:ilvl w:val="0"/>
          <w:numId w:val="1"/>
        </w:numPr>
        <w:spacing w:after="0" w:line="240" w:lineRule="auto"/>
        <w:ind w:left="0" w:firstLine="709"/>
        <w:jc w:val="both"/>
        <w:rPr>
          <w:sz w:val="20"/>
          <w:szCs w:val="20"/>
          <w:lang w:val="uk-UA"/>
        </w:rPr>
      </w:pPr>
      <w:r w:rsidRPr="00717747">
        <w:rPr>
          <w:sz w:val="20"/>
          <w:szCs w:val="20"/>
          <w:lang w:val="uk-UA"/>
        </w:rPr>
        <w:t>висока вартість європейських комерційних банків, яка сягає близько 20-30 річного періоду прибутку організації;</w:t>
      </w:r>
    </w:p>
    <w:p w:rsidR="00E02E43" w:rsidRPr="00717747" w:rsidRDefault="00E02E43" w:rsidP="00E02E43">
      <w:pPr>
        <w:pStyle w:val="a6"/>
        <w:numPr>
          <w:ilvl w:val="0"/>
          <w:numId w:val="1"/>
        </w:numPr>
        <w:spacing w:after="0" w:line="240" w:lineRule="auto"/>
        <w:ind w:left="0" w:firstLine="709"/>
        <w:jc w:val="both"/>
        <w:rPr>
          <w:sz w:val="20"/>
          <w:szCs w:val="20"/>
          <w:lang w:val="uk-UA"/>
        </w:rPr>
      </w:pPr>
      <w:r w:rsidRPr="00717747">
        <w:rPr>
          <w:sz w:val="20"/>
          <w:szCs w:val="20"/>
          <w:lang w:val="uk-UA"/>
        </w:rPr>
        <w:t>недовіру місцевого споживача до «чужим» іменах в банківській сфері.</w:t>
      </w:r>
    </w:p>
    <w:p w:rsidR="00E02E43" w:rsidRPr="00717747" w:rsidRDefault="00E02E43" w:rsidP="00E02E43">
      <w:pPr>
        <w:spacing w:after="0" w:line="240" w:lineRule="auto"/>
        <w:ind w:firstLine="709"/>
        <w:jc w:val="both"/>
        <w:rPr>
          <w:sz w:val="20"/>
          <w:szCs w:val="20"/>
          <w:lang w:val="uk-UA"/>
        </w:rPr>
      </w:pPr>
      <w:r w:rsidRPr="00717747">
        <w:rPr>
          <w:sz w:val="20"/>
          <w:szCs w:val="20"/>
          <w:lang w:val="uk-UA"/>
        </w:rPr>
        <w:t>Сьогодні по всьому світу активно йде процес об'єднання банківських систем розвинених і країн, що розвиваються.</w:t>
      </w:r>
    </w:p>
    <w:p w:rsidR="00F12427" w:rsidRDefault="00F12427" w:rsidP="00F12427">
      <w:pPr>
        <w:spacing w:after="0" w:line="240" w:lineRule="auto"/>
        <w:ind w:firstLine="709"/>
        <w:jc w:val="both"/>
        <w:rPr>
          <w:sz w:val="20"/>
          <w:szCs w:val="20"/>
          <w:lang w:val="uk-UA"/>
        </w:rPr>
      </w:pPr>
      <w:r w:rsidRPr="00717747">
        <w:rPr>
          <w:sz w:val="20"/>
          <w:szCs w:val="20"/>
          <w:lang w:val="uk-UA"/>
        </w:rPr>
        <w:t>Останніми роками спостерігається значний інтерес іноземних інвесторів до банківського сектору України з огляду на високий потенціал його розвитку, що відкриває для вітчизняної економіки як нові можливості розвитку, так і певні загрози, які можна було спостерігати під час фінансової кризи.</w:t>
      </w:r>
    </w:p>
    <w:p w:rsidR="00087C31" w:rsidRDefault="00087C31" w:rsidP="00087C31">
      <w:pPr>
        <w:spacing w:after="0" w:line="240" w:lineRule="auto"/>
        <w:ind w:firstLine="709"/>
        <w:jc w:val="both"/>
        <w:rPr>
          <w:sz w:val="20"/>
          <w:szCs w:val="20"/>
          <w:lang w:val="uk-UA"/>
        </w:rPr>
      </w:pPr>
      <w:r>
        <w:rPr>
          <w:sz w:val="20"/>
          <w:szCs w:val="20"/>
          <w:lang w:val="uk-UA"/>
        </w:rPr>
        <w:t>Українська</w:t>
      </w:r>
      <w:r w:rsidRPr="00087C31">
        <w:rPr>
          <w:sz w:val="20"/>
          <w:szCs w:val="20"/>
          <w:lang w:val="uk-UA"/>
        </w:rPr>
        <w:t xml:space="preserve"> банківська система все ще не має</w:t>
      </w:r>
      <w:r>
        <w:rPr>
          <w:sz w:val="20"/>
          <w:szCs w:val="20"/>
          <w:lang w:val="uk-UA"/>
        </w:rPr>
        <w:t xml:space="preserve"> </w:t>
      </w:r>
      <w:r w:rsidRPr="00087C31">
        <w:rPr>
          <w:sz w:val="20"/>
          <w:szCs w:val="20"/>
          <w:lang w:val="uk-UA"/>
        </w:rPr>
        <w:t>достатн</w:t>
      </w:r>
      <w:r>
        <w:rPr>
          <w:sz w:val="20"/>
          <w:szCs w:val="20"/>
          <w:lang w:val="uk-UA"/>
        </w:rPr>
        <w:t>ьої міцності і стійко</w:t>
      </w:r>
      <w:r w:rsidRPr="00087C31">
        <w:rPr>
          <w:sz w:val="20"/>
          <w:szCs w:val="20"/>
          <w:lang w:val="uk-UA"/>
        </w:rPr>
        <w:t>ст</w:t>
      </w:r>
      <w:r>
        <w:rPr>
          <w:sz w:val="20"/>
          <w:szCs w:val="20"/>
          <w:lang w:val="uk-UA"/>
        </w:rPr>
        <w:t>і</w:t>
      </w:r>
      <w:r w:rsidRPr="00087C31">
        <w:rPr>
          <w:sz w:val="20"/>
          <w:szCs w:val="20"/>
          <w:lang w:val="uk-UA"/>
        </w:rPr>
        <w:t xml:space="preserve">. Кризові тенденції в </w:t>
      </w:r>
      <w:r>
        <w:rPr>
          <w:sz w:val="20"/>
          <w:szCs w:val="20"/>
          <w:lang w:val="uk-UA"/>
        </w:rPr>
        <w:t>українському</w:t>
      </w:r>
      <w:r w:rsidRPr="00087C31">
        <w:rPr>
          <w:sz w:val="20"/>
          <w:szCs w:val="20"/>
          <w:lang w:val="uk-UA"/>
        </w:rPr>
        <w:t xml:space="preserve"> фінансовому секторі, які були обумовлені несприятливим макроекономічним кліматом і загально</w:t>
      </w:r>
      <w:r>
        <w:rPr>
          <w:sz w:val="20"/>
          <w:szCs w:val="20"/>
          <w:lang w:val="uk-UA"/>
        </w:rPr>
        <w:t xml:space="preserve">ю </w:t>
      </w:r>
      <w:r w:rsidRPr="00087C31">
        <w:rPr>
          <w:sz w:val="20"/>
          <w:szCs w:val="20"/>
          <w:lang w:val="uk-UA"/>
        </w:rPr>
        <w:t>економічною кон'юнктурою економіки стали особливо помітні починаючи з 2014 року, і з</w:t>
      </w:r>
      <w:r>
        <w:rPr>
          <w:sz w:val="20"/>
          <w:szCs w:val="20"/>
          <w:lang w:val="uk-UA"/>
        </w:rPr>
        <w:t xml:space="preserve">дійснили </w:t>
      </w:r>
      <w:r w:rsidRPr="00087C31">
        <w:rPr>
          <w:sz w:val="20"/>
          <w:szCs w:val="20"/>
          <w:lang w:val="uk-UA"/>
        </w:rPr>
        <w:t>негативний вплив на всі кредитні організації</w:t>
      </w:r>
      <w:r>
        <w:rPr>
          <w:sz w:val="20"/>
          <w:szCs w:val="20"/>
          <w:lang w:val="uk-UA"/>
        </w:rPr>
        <w:t>.</w:t>
      </w:r>
    </w:p>
    <w:p w:rsidR="007A7A63" w:rsidRPr="00717747" w:rsidRDefault="007A7A63" w:rsidP="001D31E2">
      <w:pPr>
        <w:spacing w:after="0" w:line="240" w:lineRule="auto"/>
        <w:ind w:firstLine="709"/>
        <w:jc w:val="both"/>
        <w:rPr>
          <w:sz w:val="20"/>
          <w:szCs w:val="20"/>
          <w:lang w:val="uk-UA"/>
        </w:rPr>
      </w:pPr>
      <w:r w:rsidRPr="00717747">
        <w:rPr>
          <w:sz w:val="20"/>
          <w:szCs w:val="20"/>
          <w:lang w:val="uk-UA"/>
        </w:rPr>
        <w:t>В даний час в Україні ї кількість ліквідованих банків зростає (табл.</w:t>
      </w:r>
      <w:r w:rsidR="00C2107A">
        <w:rPr>
          <w:sz w:val="20"/>
          <w:szCs w:val="20"/>
          <w:lang w:val="uk-UA"/>
        </w:rPr>
        <w:t xml:space="preserve"> </w:t>
      </w:r>
      <w:r w:rsidR="00EF72E7">
        <w:rPr>
          <w:sz w:val="20"/>
          <w:szCs w:val="20"/>
          <w:lang w:val="uk-UA"/>
        </w:rPr>
        <w:t>3</w:t>
      </w:r>
      <w:r w:rsidRPr="00717747">
        <w:rPr>
          <w:sz w:val="20"/>
          <w:szCs w:val="20"/>
          <w:lang w:val="uk-UA"/>
        </w:rPr>
        <w:t xml:space="preserve">), в більшості випадків, без вжиття заходів щодо оздоровлення. Наслідки ліквідації, в першу чергу, відображаються на клієнтах банків - підприємців та вкладників, так як </w:t>
      </w:r>
      <w:r w:rsidR="00284FF2">
        <w:rPr>
          <w:sz w:val="20"/>
          <w:szCs w:val="20"/>
          <w:lang w:val="uk-UA"/>
        </w:rPr>
        <w:t>українська</w:t>
      </w:r>
      <w:r w:rsidRPr="00717747">
        <w:rPr>
          <w:sz w:val="20"/>
          <w:szCs w:val="20"/>
          <w:lang w:val="uk-UA"/>
        </w:rPr>
        <w:t xml:space="preserve"> банківська система не передбачає повного відшкодування збитку.</w:t>
      </w:r>
    </w:p>
    <w:p w:rsidR="007A7A63" w:rsidRPr="00717747" w:rsidRDefault="007A7A63" w:rsidP="001D31E2">
      <w:pPr>
        <w:spacing w:after="0" w:line="240" w:lineRule="auto"/>
        <w:jc w:val="right"/>
        <w:rPr>
          <w:sz w:val="20"/>
          <w:szCs w:val="20"/>
          <w:lang w:val="uk-UA"/>
        </w:rPr>
      </w:pPr>
      <w:r w:rsidRPr="00717747">
        <w:rPr>
          <w:sz w:val="20"/>
          <w:szCs w:val="20"/>
          <w:lang w:val="uk-UA"/>
        </w:rPr>
        <w:t xml:space="preserve">Таблиця </w:t>
      </w:r>
      <w:r w:rsidR="00EF72E7">
        <w:rPr>
          <w:sz w:val="20"/>
          <w:szCs w:val="20"/>
          <w:lang w:val="uk-UA"/>
        </w:rPr>
        <w:t>3</w:t>
      </w:r>
    </w:p>
    <w:p w:rsidR="007A7A63" w:rsidRPr="00717747" w:rsidRDefault="007A7A63" w:rsidP="001D31E2">
      <w:pPr>
        <w:spacing w:after="0" w:line="240" w:lineRule="auto"/>
        <w:ind w:firstLine="709"/>
        <w:jc w:val="center"/>
        <w:rPr>
          <w:sz w:val="20"/>
          <w:szCs w:val="20"/>
          <w:lang w:val="uk-UA"/>
        </w:rPr>
      </w:pPr>
      <w:r w:rsidRPr="00717747">
        <w:rPr>
          <w:sz w:val="20"/>
          <w:szCs w:val="20"/>
          <w:lang w:val="uk-UA"/>
        </w:rPr>
        <w:t>Кількість банків України, 2014-2017 рр.</w:t>
      </w:r>
    </w:p>
    <w:tbl>
      <w:tblPr>
        <w:tblStyle w:val="a3"/>
        <w:tblW w:w="0" w:type="auto"/>
        <w:tblInd w:w="108" w:type="dxa"/>
        <w:tblLook w:val="04A0" w:firstRow="1" w:lastRow="0" w:firstColumn="1" w:lastColumn="0" w:noHBand="0" w:noVBand="1"/>
      </w:tblPr>
      <w:tblGrid>
        <w:gridCol w:w="2230"/>
        <w:gridCol w:w="940"/>
        <w:gridCol w:w="939"/>
        <w:gridCol w:w="940"/>
        <w:gridCol w:w="939"/>
        <w:gridCol w:w="939"/>
        <w:gridCol w:w="940"/>
        <w:gridCol w:w="939"/>
        <w:gridCol w:w="940"/>
      </w:tblGrid>
      <w:tr w:rsidR="007A7A63" w:rsidRPr="00717747" w:rsidTr="008C6722">
        <w:tc>
          <w:tcPr>
            <w:tcW w:w="2283" w:type="dxa"/>
            <w:vMerge w:val="restart"/>
          </w:tcPr>
          <w:p w:rsidR="007A7A63" w:rsidRPr="00717747" w:rsidRDefault="007A7A63" w:rsidP="008C6722">
            <w:pPr>
              <w:spacing w:line="360" w:lineRule="auto"/>
              <w:jc w:val="both"/>
              <w:rPr>
                <w:sz w:val="20"/>
                <w:szCs w:val="20"/>
                <w:lang w:val="uk-UA"/>
              </w:rPr>
            </w:pPr>
          </w:p>
        </w:tc>
        <w:tc>
          <w:tcPr>
            <w:tcW w:w="1980" w:type="dxa"/>
            <w:gridSpan w:val="2"/>
          </w:tcPr>
          <w:p w:rsidR="007A7A63" w:rsidRPr="00717747" w:rsidRDefault="007A7A63" w:rsidP="008C6722">
            <w:pPr>
              <w:jc w:val="center"/>
              <w:rPr>
                <w:sz w:val="20"/>
                <w:szCs w:val="20"/>
                <w:lang w:val="uk-UA"/>
              </w:rPr>
            </w:pPr>
            <w:r w:rsidRPr="00717747">
              <w:rPr>
                <w:sz w:val="20"/>
                <w:szCs w:val="20"/>
                <w:lang w:val="uk-UA"/>
              </w:rPr>
              <w:t>2014</w:t>
            </w:r>
          </w:p>
        </w:tc>
        <w:tc>
          <w:tcPr>
            <w:tcW w:w="1981" w:type="dxa"/>
            <w:gridSpan w:val="2"/>
          </w:tcPr>
          <w:p w:rsidR="007A7A63" w:rsidRPr="00717747" w:rsidRDefault="007A7A63" w:rsidP="008C6722">
            <w:pPr>
              <w:jc w:val="center"/>
              <w:rPr>
                <w:sz w:val="20"/>
                <w:szCs w:val="20"/>
                <w:lang w:val="uk-UA"/>
              </w:rPr>
            </w:pPr>
            <w:r w:rsidRPr="00717747">
              <w:rPr>
                <w:sz w:val="20"/>
                <w:szCs w:val="20"/>
                <w:lang w:val="uk-UA"/>
              </w:rPr>
              <w:t>2015</w:t>
            </w:r>
          </w:p>
        </w:tc>
        <w:tc>
          <w:tcPr>
            <w:tcW w:w="1981" w:type="dxa"/>
            <w:gridSpan w:val="2"/>
          </w:tcPr>
          <w:p w:rsidR="007A7A63" w:rsidRPr="00717747" w:rsidRDefault="007A7A63" w:rsidP="008C6722">
            <w:pPr>
              <w:jc w:val="center"/>
              <w:rPr>
                <w:sz w:val="20"/>
                <w:szCs w:val="20"/>
                <w:lang w:val="uk-UA"/>
              </w:rPr>
            </w:pPr>
            <w:r w:rsidRPr="00717747">
              <w:rPr>
                <w:sz w:val="20"/>
                <w:szCs w:val="20"/>
                <w:lang w:val="uk-UA"/>
              </w:rPr>
              <w:t>2016</w:t>
            </w:r>
          </w:p>
        </w:tc>
        <w:tc>
          <w:tcPr>
            <w:tcW w:w="1981" w:type="dxa"/>
            <w:gridSpan w:val="2"/>
          </w:tcPr>
          <w:p w:rsidR="007A7A63" w:rsidRPr="00717747" w:rsidRDefault="007A7A63" w:rsidP="008C6722">
            <w:pPr>
              <w:jc w:val="center"/>
              <w:rPr>
                <w:sz w:val="20"/>
                <w:szCs w:val="20"/>
                <w:lang w:val="uk-UA"/>
              </w:rPr>
            </w:pPr>
            <w:r w:rsidRPr="00717747">
              <w:rPr>
                <w:sz w:val="20"/>
                <w:szCs w:val="20"/>
                <w:lang w:val="uk-UA"/>
              </w:rPr>
              <w:t>2017</w:t>
            </w:r>
          </w:p>
        </w:tc>
      </w:tr>
      <w:tr w:rsidR="007A7A63" w:rsidRPr="00717747" w:rsidTr="008C6722">
        <w:tc>
          <w:tcPr>
            <w:tcW w:w="2283" w:type="dxa"/>
            <w:vMerge/>
          </w:tcPr>
          <w:p w:rsidR="007A7A63" w:rsidRPr="00717747" w:rsidRDefault="007A7A63" w:rsidP="008C6722">
            <w:pPr>
              <w:spacing w:line="360" w:lineRule="auto"/>
              <w:jc w:val="both"/>
              <w:rPr>
                <w:sz w:val="20"/>
                <w:szCs w:val="20"/>
                <w:lang w:val="uk-UA"/>
              </w:rPr>
            </w:pPr>
          </w:p>
        </w:tc>
        <w:tc>
          <w:tcPr>
            <w:tcW w:w="990" w:type="dxa"/>
          </w:tcPr>
          <w:p w:rsidR="007A7A63" w:rsidRPr="00717747" w:rsidRDefault="007A7A63" w:rsidP="008C6722">
            <w:pPr>
              <w:jc w:val="center"/>
              <w:rPr>
                <w:sz w:val="20"/>
                <w:szCs w:val="20"/>
                <w:lang w:val="uk-UA"/>
              </w:rPr>
            </w:pPr>
            <w:proofErr w:type="spellStart"/>
            <w:r w:rsidRPr="00717747">
              <w:rPr>
                <w:sz w:val="20"/>
                <w:szCs w:val="20"/>
                <w:lang w:val="uk-UA"/>
              </w:rPr>
              <w:t>Кіль-кість</w:t>
            </w:r>
            <w:proofErr w:type="spellEnd"/>
          </w:p>
        </w:tc>
        <w:tc>
          <w:tcPr>
            <w:tcW w:w="990" w:type="dxa"/>
          </w:tcPr>
          <w:p w:rsidR="007A7A63" w:rsidRPr="00717747" w:rsidRDefault="007A7A63" w:rsidP="008C6722">
            <w:pPr>
              <w:jc w:val="center"/>
              <w:rPr>
                <w:sz w:val="20"/>
                <w:szCs w:val="20"/>
                <w:lang w:val="uk-UA"/>
              </w:rPr>
            </w:pPr>
            <w:r w:rsidRPr="00717747">
              <w:rPr>
                <w:sz w:val="20"/>
                <w:szCs w:val="20"/>
                <w:lang w:val="uk-UA"/>
              </w:rPr>
              <w:t>%</w:t>
            </w:r>
          </w:p>
        </w:tc>
        <w:tc>
          <w:tcPr>
            <w:tcW w:w="991" w:type="dxa"/>
          </w:tcPr>
          <w:p w:rsidR="007A7A63" w:rsidRPr="00717747" w:rsidRDefault="007A7A63" w:rsidP="008C6722">
            <w:pPr>
              <w:jc w:val="center"/>
              <w:rPr>
                <w:sz w:val="20"/>
                <w:szCs w:val="20"/>
                <w:lang w:val="uk-UA"/>
              </w:rPr>
            </w:pPr>
            <w:proofErr w:type="spellStart"/>
            <w:r w:rsidRPr="00717747">
              <w:rPr>
                <w:sz w:val="20"/>
                <w:szCs w:val="20"/>
                <w:lang w:val="uk-UA"/>
              </w:rPr>
              <w:t>Кіль-кість</w:t>
            </w:r>
            <w:proofErr w:type="spellEnd"/>
            <w:r w:rsidRPr="00717747">
              <w:rPr>
                <w:sz w:val="20"/>
                <w:szCs w:val="20"/>
                <w:lang w:val="uk-UA"/>
              </w:rPr>
              <w:t xml:space="preserve"> </w:t>
            </w:r>
          </w:p>
        </w:tc>
        <w:tc>
          <w:tcPr>
            <w:tcW w:w="990" w:type="dxa"/>
          </w:tcPr>
          <w:p w:rsidR="007A7A63" w:rsidRPr="00717747" w:rsidRDefault="007A7A63" w:rsidP="008C6722">
            <w:pPr>
              <w:jc w:val="center"/>
              <w:rPr>
                <w:sz w:val="20"/>
                <w:szCs w:val="20"/>
                <w:lang w:val="uk-UA"/>
              </w:rPr>
            </w:pPr>
            <w:r w:rsidRPr="00717747">
              <w:rPr>
                <w:sz w:val="20"/>
                <w:szCs w:val="20"/>
                <w:lang w:val="uk-UA"/>
              </w:rPr>
              <w:t>%</w:t>
            </w:r>
          </w:p>
        </w:tc>
        <w:tc>
          <w:tcPr>
            <w:tcW w:w="990" w:type="dxa"/>
          </w:tcPr>
          <w:p w:rsidR="007A7A63" w:rsidRPr="00717747" w:rsidRDefault="007A7A63" w:rsidP="008C6722">
            <w:pPr>
              <w:jc w:val="center"/>
              <w:rPr>
                <w:sz w:val="20"/>
                <w:szCs w:val="20"/>
                <w:lang w:val="uk-UA"/>
              </w:rPr>
            </w:pPr>
            <w:proofErr w:type="spellStart"/>
            <w:r w:rsidRPr="00717747">
              <w:rPr>
                <w:sz w:val="20"/>
                <w:szCs w:val="20"/>
                <w:lang w:val="uk-UA"/>
              </w:rPr>
              <w:t>Кіль-кість</w:t>
            </w:r>
            <w:proofErr w:type="spellEnd"/>
          </w:p>
        </w:tc>
        <w:tc>
          <w:tcPr>
            <w:tcW w:w="991" w:type="dxa"/>
          </w:tcPr>
          <w:p w:rsidR="007A7A63" w:rsidRPr="00717747" w:rsidRDefault="007A7A63" w:rsidP="008C6722">
            <w:pPr>
              <w:jc w:val="center"/>
              <w:rPr>
                <w:sz w:val="20"/>
                <w:szCs w:val="20"/>
                <w:lang w:val="uk-UA"/>
              </w:rPr>
            </w:pPr>
            <w:r w:rsidRPr="00717747">
              <w:rPr>
                <w:sz w:val="20"/>
                <w:szCs w:val="20"/>
                <w:lang w:val="uk-UA"/>
              </w:rPr>
              <w:t>%</w:t>
            </w:r>
          </w:p>
        </w:tc>
        <w:tc>
          <w:tcPr>
            <w:tcW w:w="990" w:type="dxa"/>
          </w:tcPr>
          <w:p w:rsidR="007A7A63" w:rsidRPr="00717747" w:rsidRDefault="007A7A63" w:rsidP="008C6722">
            <w:pPr>
              <w:jc w:val="center"/>
              <w:rPr>
                <w:sz w:val="20"/>
                <w:szCs w:val="20"/>
                <w:lang w:val="uk-UA"/>
              </w:rPr>
            </w:pPr>
            <w:proofErr w:type="spellStart"/>
            <w:r w:rsidRPr="00717747">
              <w:rPr>
                <w:sz w:val="20"/>
                <w:szCs w:val="20"/>
                <w:lang w:val="uk-UA"/>
              </w:rPr>
              <w:t>Кіль-кість</w:t>
            </w:r>
            <w:proofErr w:type="spellEnd"/>
          </w:p>
        </w:tc>
        <w:tc>
          <w:tcPr>
            <w:tcW w:w="991" w:type="dxa"/>
          </w:tcPr>
          <w:p w:rsidR="007A7A63" w:rsidRPr="00717747" w:rsidRDefault="007A7A63" w:rsidP="008C6722">
            <w:pPr>
              <w:jc w:val="center"/>
              <w:rPr>
                <w:sz w:val="20"/>
                <w:szCs w:val="20"/>
                <w:lang w:val="uk-UA"/>
              </w:rPr>
            </w:pPr>
            <w:r w:rsidRPr="00717747">
              <w:rPr>
                <w:sz w:val="20"/>
                <w:szCs w:val="20"/>
                <w:lang w:val="uk-UA"/>
              </w:rPr>
              <w:t>%</w:t>
            </w:r>
          </w:p>
        </w:tc>
      </w:tr>
      <w:tr w:rsidR="007A7A63" w:rsidRPr="00717747" w:rsidTr="008C6722">
        <w:tc>
          <w:tcPr>
            <w:tcW w:w="2283" w:type="dxa"/>
          </w:tcPr>
          <w:p w:rsidR="007A7A63" w:rsidRPr="00717747" w:rsidRDefault="007A7A63" w:rsidP="008C6722">
            <w:pPr>
              <w:jc w:val="both"/>
              <w:rPr>
                <w:sz w:val="20"/>
                <w:szCs w:val="20"/>
                <w:lang w:val="uk-UA"/>
              </w:rPr>
            </w:pPr>
            <w:r w:rsidRPr="00717747">
              <w:rPr>
                <w:i/>
                <w:sz w:val="20"/>
                <w:szCs w:val="20"/>
                <w:lang w:val="uk-UA"/>
              </w:rPr>
              <w:t>Платоспроможні</w:t>
            </w:r>
            <w:r w:rsidRPr="00717747">
              <w:rPr>
                <w:sz w:val="20"/>
                <w:szCs w:val="20"/>
                <w:lang w:val="uk-UA"/>
              </w:rPr>
              <w:t xml:space="preserve"> Всього, в т.ч.</w:t>
            </w:r>
          </w:p>
        </w:tc>
        <w:tc>
          <w:tcPr>
            <w:tcW w:w="990" w:type="dxa"/>
          </w:tcPr>
          <w:p w:rsidR="007A7A63" w:rsidRPr="00717747" w:rsidRDefault="007A7A63" w:rsidP="008C6722">
            <w:pPr>
              <w:jc w:val="center"/>
              <w:rPr>
                <w:sz w:val="20"/>
                <w:szCs w:val="20"/>
                <w:lang w:val="uk-UA"/>
              </w:rPr>
            </w:pPr>
            <w:r w:rsidRPr="00717747">
              <w:rPr>
                <w:sz w:val="20"/>
                <w:szCs w:val="20"/>
                <w:lang w:val="uk-UA"/>
              </w:rPr>
              <w:t>147</w:t>
            </w:r>
          </w:p>
        </w:tc>
        <w:tc>
          <w:tcPr>
            <w:tcW w:w="990" w:type="dxa"/>
          </w:tcPr>
          <w:p w:rsidR="007A7A63" w:rsidRPr="00717747" w:rsidRDefault="007A7A63" w:rsidP="008C6722">
            <w:pPr>
              <w:jc w:val="center"/>
              <w:rPr>
                <w:sz w:val="20"/>
                <w:szCs w:val="20"/>
                <w:lang w:val="uk-UA"/>
              </w:rPr>
            </w:pPr>
            <w:r w:rsidRPr="00717747">
              <w:rPr>
                <w:sz w:val="20"/>
                <w:szCs w:val="20"/>
                <w:lang w:val="uk-UA"/>
              </w:rPr>
              <w:t>100,0</w:t>
            </w:r>
          </w:p>
        </w:tc>
        <w:tc>
          <w:tcPr>
            <w:tcW w:w="991" w:type="dxa"/>
          </w:tcPr>
          <w:p w:rsidR="007A7A63" w:rsidRPr="00717747" w:rsidRDefault="007A7A63" w:rsidP="008C6722">
            <w:pPr>
              <w:jc w:val="center"/>
              <w:rPr>
                <w:sz w:val="20"/>
                <w:szCs w:val="20"/>
                <w:lang w:val="uk-UA"/>
              </w:rPr>
            </w:pPr>
            <w:r w:rsidRPr="00717747">
              <w:rPr>
                <w:sz w:val="20"/>
                <w:szCs w:val="20"/>
                <w:lang w:val="uk-UA"/>
              </w:rPr>
              <w:t>117</w:t>
            </w:r>
          </w:p>
        </w:tc>
        <w:tc>
          <w:tcPr>
            <w:tcW w:w="990" w:type="dxa"/>
          </w:tcPr>
          <w:p w:rsidR="007A7A63" w:rsidRPr="00717747" w:rsidRDefault="007A7A63" w:rsidP="008C6722">
            <w:pPr>
              <w:jc w:val="center"/>
              <w:rPr>
                <w:sz w:val="20"/>
                <w:szCs w:val="20"/>
                <w:lang w:val="uk-UA"/>
              </w:rPr>
            </w:pPr>
            <w:r w:rsidRPr="00717747">
              <w:rPr>
                <w:sz w:val="20"/>
                <w:szCs w:val="20"/>
                <w:lang w:val="uk-UA"/>
              </w:rPr>
              <w:t>100,0</w:t>
            </w:r>
          </w:p>
        </w:tc>
        <w:tc>
          <w:tcPr>
            <w:tcW w:w="990" w:type="dxa"/>
          </w:tcPr>
          <w:p w:rsidR="007A7A63" w:rsidRPr="00717747" w:rsidRDefault="007A7A63" w:rsidP="008C6722">
            <w:pPr>
              <w:jc w:val="center"/>
              <w:rPr>
                <w:sz w:val="20"/>
                <w:szCs w:val="20"/>
                <w:lang w:val="uk-UA"/>
              </w:rPr>
            </w:pPr>
            <w:r w:rsidRPr="00717747">
              <w:rPr>
                <w:sz w:val="20"/>
                <w:szCs w:val="20"/>
                <w:lang w:val="uk-UA"/>
              </w:rPr>
              <w:t>96</w:t>
            </w:r>
          </w:p>
        </w:tc>
        <w:tc>
          <w:tcPr>
            <w:tcW w:w="991" w:type="dxa"/>
          </w:tcPr>
          <w:p w:rsidR="007A7A63" w:rsidRPr="00717747" w:rsidRDefault="007A7A63" w:rsidP="008C6722">
            <w:pPr>
              <w:jc w:val="center"/>
              <w:rPr>
                <w:sz w:val="20"/>
                <w:szCs w:val="20"/>
                <w:lang w:val="uk-UA"/>
              </w:rPr>
            </w:pPr>
            <w:r w:rsidRPr="00717747">
              <w:rPr>
                <w:sz w:val="20"/>
                <w:szCs w:val="20"/>
                <w:lang w:val="uk-UA"/>
              </w:rPr>
              <w:t>100,0</w:t>
            </w:r>
          </w:p>
        </w:tc>
        <w:tc>
          <w:tcPr>
            <w:tcW w:w="990" w:type="dxa"/>
          </w:tcPr>
          <w:p w:rsidR="007A7A63" w:rsidRPr="00717747" w:rsidRDefault="007A7A63" w:rsidP="008C6722">
            <w:pPr>
              <w:spacing w:line="360" w:lineRule="auto"/>
              <w:jc w:val="center"/>
              <w:rPr>
                <w:sz w:val="20"/>
                <w:szCs w:val="20"/>
                <w:lang w:val="uk-UA"/>
              </w:rPr>
            </w:pPr>
            <w:r w:rsidRPr="00717747">
              <w:rPr>
                <w:sz w:val="20"/>
                <w:szCs w:val="20"/>
                <w:lang w:val="uk-UA"/>
              </w:rPr>
              <w:t>82</w:t>
            </w:r>
          </w:p>
        </w:tc>
        <w:tc>
          <w:tcPr>
            <w:tcW w:w="991" w:type="dxa"/>
          </w:tcPr>
          <w:p w:rsidR="007A7A63" w:rsidRPr="00717747" w:rsidRDefault="007A7A63" w:rsidP="008C6722">
            <w:pPr>
              <w:spacing w:line="360" w:lineRule="auto"/>
              <w:jc w:val="center"/>
              <w:rPr>
                <w:sz w:val="20"/>
                <w:szCs w:val="20"/>
                <w:lang w:val="uk-UA"/>
              </w:rPr>
            </w:pPr>
            <w:r w:rsidRPr="00717747">
              <w:rPr>
                <w:sz w:val="20"/>
                <w:szCs w:val="20"/>
                <w:lang w:val="uk-UA"/>
              </w:rPr>
              <w:t>100,0</w:t>
            </w:r>
          </w:p>
        </w:tc>
      </w:tr>
      <w:tr w:rsidR="007A7A63" w:rsidRPr="00717747" w:rsidTr="008C6722">
        <w:tc>
          <w:tcPr>
            <w:tcW w:w="2283" w:type="dxa"/>
          </w:tcPr>
          <w:p w:rsidR="007A7A63" w:rsidRPr="00717747" w:rsidRDefault="007A7A63" w:rsidP="008C6722">
            <w:pPr>
              <w:jc w:val="both"/>
              <w:rPr>
                <w:sz w:val="20"/>
                <w:szCs w:val="20"/>
                <w:lang w:val="uk-UA"/>
              </w:rPr>
            </w:pPr>
            <w:r w:rsidRPr="00717747">
              <w:rPr>
                <w:sz w:val="20"/>
                <w:szCs w:val="20"/>
                <w:lang w:val="uk-UA"/>
              </w:rPr>
              <w:t>Державні</w:t>
            </w:r>
          </w:p>
        </w:tc>
        <w:tc>
          <w:tcPr>
            <w:tcW w:w="990" w:type="dxa"/>
          </w:tcPr>
          <w:p w:rsidR="007A7A63" w:rsidRPr="00717747" w:rsidRDefault="007A7A63" w:rsidP="008C6722">
            <w:pPr>
              <w:jc w:val="center"/>
              <w:rPr>
                <w:sz w:val="20"/>
                <w:szCs w:val="20"/>
                <w:lang w:val="uk-UA"/>
              </w:rPr>
            </w:pPr>
            <w:r w:rsidRPr="00717747">
              <w:rPr>
                <w:sz w:val="20"/>
                <w:szCs w:val="20"/>
                <w:lang w:val="uk-UA"/>
              </w:rPr>
              <w:t>7</w:t>
            </w:r>
          </w:p>
        </w:tc>
        <w:tc>
          <w:tcPr>
            <w:tcW w:w="990" w:type="dxa"/>
          </w:tcPr>
          <w:p w:rsidR="007A7A63" w:rsidRPr="00717747" w:rsidRDefault="007A7A63" w:rsidP="008C6722">
            <w:pPr>
              <w:jc w:val="center"/>
              <w:rPr>
                <w:sz w:val="20"/>
                <w:szCs w:val="20"/>
                <w:lang w:val="uk-UA"/>
              </w:rPr>
            </w:pPr>
            <w:r w:rsidRPr="00717747">
              <w:rPr>
                <w:sz w:val="20"/>
                <w:szCs w:val="20"/>
                <w:lang w:val="uk-UA"/>
              </w:rPr>
              <w:t>4,8</w:t>
            </w:r>
          </w:p>
        </w:tc>
        <w:tc>
          <w:tcPr>
            <w:tcW w:w="991" w:type="dxa"/>
          </w:tcPr>
          <w:p w:rsidR="007A7A63" w:rsidRPr="00717747" w:rsidRDefault="007A7A63" w:rsidP="008C6722">
            <w:pPr>
              <w:jc w:val="center"/>
              <w:rPr>
                <w:sz w:val="20"/>
                <w:szCs w:val="20"/>
                <w:lang w:val="uk-UA"/>
              </w:rPr>
            </w:pPr>
            <w:r w:rsidRPr="00717747">
              <w:rPr>
                <w:sz w:val="20"/>
                <w:szCs w:val="20"/>
                <w:lang w:val="uk-UA"/>
              </w:rPr>
              <w:t>7</w:t>
            </w:r>
          </w:p>
        </w:tc>
        <w:tc>
          <w:tcPr>
            <w:tcW w:w="990" w:type="dxa"/>
          </w:tcPr>
          <w:p w:rsidR="007A7A63" w:rsidRPr="00717747" w:rsidRDefault="007A7A63" w:rsidP="008C6722">
            <w:pPr>
              <w:jc w:val="center"/>
              <w:rPr>
                <w:sz w:val="20"/>
                <w:szCs w:val="20"/>
                <w:lang w:val="uk-UA"/>
              </w:rPr>
            </w:pPr>
            <w:r w:rsidRPr="00717747">
              <w:rPr>
                <w:sz w:val="20"/>
                <w:szCs w:val="20"/>
                <w:lang w:val="uk-UA"/>
              </w:rPr>
              <w:t>5,9</w:t>
            </w:r>
          </w:p>
        </w:tc>
        <w:tc>
          <w:tcPr>
            <w:tcW w:w="990" w:type="dxa"/>
          </w:tcPr>
          <w:p w:rsidR="007A7A63" w:rsidRPr="00717747" w:rsidRDefault="007A7A63" w:rsidP="008C6722">
            <w:pPr>
              <w:jc w:val="center"/>
              <w:rPr>
                <w:sz w:val="20"/>
                <w:szCs w:val="20"/>
                <w:lang w:val="uk-UA"/>
              </w:rPr>
            </w:pPr>
            <w:r w:rsidRPr="00717747">
              <w:rPr>
                <w:sz w:val="20"/>
                <w:szCs w:val="20"/>
                <w:lang w:val="uk-UA"/>
              </w:rPr>
              <w:t>6</w:t>
            </w:r>
          </w:p>
        </w:tc>
        <w:tc>
          <w:tcPr>
            <w:tcW w:w="991" w:type="dxa"/>
          </w:tcPr>
          <w:p w:rsidR="007A7A63" w:rsidRPr="00717747" w:rsidRDefault="007A7A63" w:rsidP="008C6722">
            <w:pPr>
              <w:jc w:val="center"/>
              <w:rPr>
                <w:sz w:val="20"/>
                <w:szCs w:val="20"/>
                <w:lang w:val="uk-UA"/>
              </w:rPr>
            </w:pPr>
            <w:r w:rsidRPr="00717747">
              <w:rPr>
                <w:sz w:val="20"/>
                <w:szCs w:val="20"/>
                <w:lang w:val="uk-UA"/>
              </w:rPr>
              <w:t>6,3</w:t>
            </w:r>
          </w:p>
        </w:tc>
        <w:tc>
          <w:tcPr>
            <w:tcW w:w="990" w:type="dxa"/>
          </w:tcPr>
          <w:p w:rsidR="007A7A63" w:rsidRPr="00717747" w:rsidRDefault="007A7A63" w:rsidP="008C6722">
            <w:pPr>
              <w:spacing w:line="360" w:lineRule="auto"/>
              <w:jc w:val="center"/>
              <w:rPr>
                <w:sz w:val="20"/>
                <w:szCs w:val="20"/>
                <w:lang w:val="uk-UA"/>
              </w:rPr>
            </w:pPr>
            <w:r w:rsidRPr="00717747">
              <w:rPr>
                <w:sz w:val="20"/>
                <w:szCs w:val="20"/>
                <w:lang w:val="uk-UA"/>
              </w:rPr>
              <w:t>6</w:t>
            </w:r>
          </w:p>
        </w:tc>
        <w:tc>
          <w:tcPr>
            <w:tcW w:w="991" w:type="dxa"/>
          </w:tcPr>
          <w:p w:rsidR="007A7A63" w:rsidRPr="00717747" w:rsidRDefault="007A7A63" w:rsidP="008C6722">
            <w:pPr>
              <w:spacing w:line="360" w:lineRule="auto"/>
              <w:jc w:val="center"/>
              <w:rPr>
                <w:sz w:val="20"/>
                <w:szCs w:val="20"/>
                <w:lang w:val="uk-UA"/>
              </w:rPr>
            </w:pPr>
            <w:r w:rsidRPr="00717747">
              <w:rPr>
                <w:sz w:val="20"/>
                <w:szCs w:val="20"/>
                <w:lang w:val="uk-UA"/>
              </w:rPr>
              <w:t>6,0</w:t>
            </w:r>
          </w:p>
        </w:tc>
      </w:tr>
      <w:tr w:rsidR="007A7A63" w:rsidRPr="00717747" w:rsidTr="008C6722">
        <w:tc>
          <w:tcPr>
            <w:tcW w:w="2283" w:type="dxa"/>
          </w:tcPr>
          <w:p w:rsidR="007A7A63" w:rsidRPr="00717747" w:rsidRDefault="007A7A63" w:rsidP="008C6722">
            <w:pPr>
              <w:jc w:val="both"/>
              <w:rPr>
                <w:sz w:val="20"/>
                <w:szCs w:val="20"/>
                <w:lang w:val="uk-UA"/>
              </w:rPr>
            </w:pPr>
            <w:r w:rsidRPr="00717747">
              <w:rPr>
                <w:sz w:val="20"/>
                <w:szCs w:val="20"/>
                <w:lang w:val="uk-UA"/>
              </w:rPr>
              <w:t>Іноземні</w:t>
            </w:r>
          </w:p>
        </w:tc>
        <w:tc>
          <w:tcPr>
            <w:tcW w:w="990" w:type="dxa"/>
          </w:tcPr>
          <w:p w:rsidR="007A7A63" w:rsidRPr="00717747" w:rsidRDefault="007A7A63" w:rsidP="008C6722">
            <w:pPr>
              <w:jc w:val="center"/>
              <w:rPr>
                <w:sz w:val="20"/>
                <w:szCs w:val="20"/>
                <w:lang w:val="uk-UA"/>
              </w:rPr>
            </w:pPr>
            <w:r w:rsidRPr="00717747">
              <w:rPr>
                <w:sz w:val="20"/>
                <w:szCs w:val="20"/>
                <w:lang w:val="uk-UA"/>
              </w:rPr>
              <w:t>25</w:t>
            </w:r>
          </w:p>
        </w:tc>
        <w:tc>
          <w:tcPr>
            <w:tcW w:w="990" w:type="dxa"/>
          </w:tcPr>
          <w:p w:rsidR="007A7A63" w:rsidRPr="00717747" w:rsidRDefault="007A7A63" w:rsidP="008C6722">
            <w:pPr>
              <w:jc w:val="center"/>
              <w:rPr>
                <w:sz w:val="20"/>
                <w:szCs w:val="20"/>
                <w:lang w:val="uk-UA"/>
              </w:rPr>
            </w:pPr>
            <w:r w:rsidRPr="00717747">
              <w:rPr>
                <w:sz w:val="20"/>
                <w:szCs w:val="20"/>
                <w:lang w:val="uk-UA"/>
              </w:rPr>
              <w:t>17,0</w:t>
            </w:r>
          </w:p>
        </w:tc>
        <w:tc>
          <w:tcPr>
            <w:tcW w:w="991" w:type="dxa"/>
          </w:tcPr>
          <w:p w:rsidR="007A7A63" w:rsidRPr="00717747" w:rsidRDefault="007A7A63" w:rsidP="008C6722">
            <w:pPr>
              <w:jc w:val="center"/>
              <w:rPr>
                <w:sz w:val="20"/>
                <w:szCs w:val="20"/>
                <w:lang w:val="uk-UA"/>
              </w:rPr>
            </w:pPr>
            <w:r w:rsidRPr="00717747">
              <w:rPr>
                <w:sz w:val="20"/>
                <w:szCs w:val="20"/>
                <w:lang w:val="uk-UA"/>
              </w:rPr>
              <w:t>25</w:t>
            </w:r>
          </w:p>
        </w:tc>
        <w:tc>
          <w:tcPr>
            <w:tcW w:w="990" w:type="dxa"/>
          </w:tcPr>
          <w:p w:rsidR="007A7A63" w:rsidRPr="00717747" w:rsidRDefault="007A7A63" w:rsidP="008C6722">
            <w:pPr>
              <w:jc w:val="center"/>
              <w:rPr>
                <w:sz w:val="20"/>
                <w:szCs w:val="20"/>
                <w:lang w:val="uk-UA"/>
              </w:rPr>
            </w:pPr>
            <w:r w:rsidRPr="00717747">
              <w:rPr>
                <w:sz w:val="20"/>
                <w:szCs w:val="20"/>
                <w:lang w:val="uk-UA"/>
              </w:rPr>
              <w:t>21,4</w:t>
            </w:r>
          </w:p>
        </w:tc>
        <w:tc>
          <w:tcPr>
            <w:tcW w:w="990" w:type="dxa"/>
          </w:tcPr>
          <w:p w:rsidR="007A7A63" w:rsidRPr="00717747" w:rsidRDefault="007A7A63" w:rsidP="008C6722">
            <w:pPr>
              <w:jc w:val="center"/>
              <w:rPr>
                <w:sz w:val="20"/>
                <w:szCs w:val="20"/>
                <w:lang w:val="uk-UA"/>
              </w:rPr>
            </w:pPr>
            <w:r w:rsidRPr="00717747">
              <w:rPr>
                <w:sz w:val="20"/>
                <w:szCs w:val="20"/>
                <w:lang w:val="uk-UA"/>
              </w:rPr>
              <w:t>25</w:t>
            </w:r>
          </w:p>
        </w:tc>
        <w:tc>
          <w:tcPr>
            <w:tcW w:w="991" w:type="dxa"/>
          </w:tcPr>
          <w:p w:rsidR="007A7A63" w:rsidRPr="00717747" w:rsidRDefault="007A7A63" w:rsidP="008C6722">
            <w:pPr>
              <w:jc w:val="center"/>
              <w:rPr>
                <w:sz w:val="20"/>
                <w:szCs w:val="20"/>
                <w:lang w:val="uk-UA"/>
              </w:rPr>
            </w:pPr>
            <w:r w:rsidRPr="00717747">
              <w:rPr>
                <w:sz w:val="20"/>
                <w:szCs w:val="20"/>
                <w:lang w:val="uk-UA"/>
              </w:rPr>
              <w:t>26,0</w:t>
            </w:r>
          </w:p>
        </w:tc>
        <w:tc>
          <w:tcPr>
            <w:tcW w:w="990" w:type="dxa"/>
          </w:tcPr>
          <w:p w:rsidR="007A7A63" w:rsidRPr="00717747" w:rsidRDefault="007A7A63" w:rsidP="008C6722">
            <w:pPr>
              <w:spacing w:line="360" w:lineRule="auto"/>
              <w:jc w:val="center"/>
              <w:rPr>
                <w:sz w:val="20"/>
                <w:szCs w:val="20"/>
                <w:lang w:val="uk-UA"/>
              </w:rPr>
            </w:pPr>
            <w:r w:rsidRPr="00717747">
              <w:rPr>
                <w:sz w:val="20"/>
                <w:szCs w:val="20"/>
                <w:lang w:val="uk-UA"/>
              </w:rPr>
              <w:t>23</w:t>
            </w:r>
          </w:p>
        </w:tc>
        <w:tc>
          <w:tcPr>
            <w:tcW w:w="991" w:type="dxa"/>
          </w:tcPr>
          <w:p w:rsidR="007A7A63" w:rsidRPr="00717747" w:rsidRDefault="007A7A63" w:rsidP="008C6722">
            <w:pPr>
              <w:spacing w:line="360" w:lineRule="auto"/>
              <w:jc w:val="center"/>
              <w:rPr>
                <w:sz w:val="20"/>
                <w:szCs w:val="20"/>
                <w:lang w:val="uk-UA"/>
              </w:rPr>
            </w:pPr>
            <w:r w:rsidRPr="00717747">
              <w:rPr>
                <w:sz w:val="20"/>
                <w:szCs w:val="20"/>
                <w:lang w:val="uk-UA"/>
              </w:rPr>
              <w:t>28,1</w:t>
            </w:r>
          </w:p>
        </w:tc>
      </w:tr>
      <w:tr w:rsidR="007A7A63" w:rsidRPr="00717747" w:rsidTr="008C6722">
        <w:tc>
          <w:tcPr>
            <w:tcW w:w="2283" w:type="dxa"/>
          </w:tcPr>
          <w:p w:rsidR="007A7A63" w:rsidRPr="00717747" w:rsidRDefault="007A7A63" w:rsidP="008C6722">
            <w:pPr>
              <w:jc w:val="both"/>
              <w:rPr>
                <w:sz w:val="20"/>
                <w:szCs w:val="20"/>
                <w:lang w:val="uk-UA"/>
              </w:rPr>
            </w:pPr>
            <w:r w:rsidRPr="00717747">
              <w:rPr>
                <w:sz w:val="20"/>
                <w:szCs w:val="20"/>
                <w:lang w:val="uk-UA"/>
              </w:rPr>
              <w:t>Приватні</w:t>
            </w:r>
          </w:p>
        </w:tc>
        <w:tc>
          <w:tcPr>
            <w:tcW w:w="990" w:type="dxa"/>
          </w:tcPr>
          <w:p w:rsidR="007A7A63" w:rsidRPr="00717747" w:rsidRDefault="007A7A63" w:rsidP="008C6722">
            <w:pPr>
              <w:jc w:val="center"/>
              <w:rPr>
                <w:sz w:val="20"/>
                <w:szCs w:val="20"/>
                <w:lang w:val="uk-UA"/>
              </w:rPr>
            </w:pPr>
            <w:r w:rsidRPr="00717747">
              <w:rPr>
                <w:sz w:val="20"/>
                <w:szCs w:val="20"/>
                <w:lang w:val="uk-UA"/>
              </w:rPr>
              <w:t>115</w:t>
            </w:r>
          </w:p>
        </w:tc>
        <w:tc>
          <w:tcPr>
            <w:tcW w:w="990" w:type="dxa"/>
          </w:tcPr>
          <w:p w:rsidR="007A7A63" w:rsidRPr="00717747" w:rsidRDefault="007A7A63" w:rsidP="008C6722">
            <w:pPr>
              <w:jc w:val="center"/>
              <w:rPr>
                <w:sz w:val="20"/>
                <w:szCs w:val="20"/>
                <w:lang w:val="uk-UA"/>
              </w:rPr>
            </w:pPr>
            <w:r w:rsidRPr="00717747">
              <w:rPr>
                <w:sz w:val="20"/>
                <w:szCs w:val="20"/>
                <w:lang w:val="uk-UA"/>
              </w:rPr>
              <w:t>78,2</w:t>
            </w:r>
          </w:p>
        </w:tc>
        <w:tc>
          <w:tcPr>
            <w:tcW w:w="991" w:type="dxa"/>
          </w:tcPr>
          <w:p w:rsidR="007A7A63" w:rsidRPr="00717747" w:rsidRDefault="007A7A63" w:rsidP="008C6722">
            <w:pPr>
              <w:jc w:val="center"/>
              <w:rPr>
                <w:sz w:val="20"/>
                <w:szCs w:val="20"/>
                <w:lang w:val="uk-UA"/>
              </w:rPr>
            </w:pPr>
            <w:r w:rsidRPr="00717747">
              <w:rPr>
                <w:sz w:val="20"/>
                <w:szCs w:val="20"/>
                <w:lang w:val="uk-UA"/>
              </w:rPr>
              <w:t>85</w:t>
            </w:r>
          </w:p>
        </w:tc>
        <w:tc>
          <w:tcPr>
            <w:tcW w:w="990" w:type="dxa"/>
          </w:tcPr>
          <w:p w:rsidR="007A7A63" w:rsidRPr="00717747" w:rsidRDefault="007A7A63" w:rsidP="008C6722">
            <w:pPr>
              <w:jc w:val="center"/>
              <w:rPr>
                <w:sz w:val="20"/>
                <w:szCs w:val="20"/>
                <w:lang w:val="uk-UA"/>
              </w:rPr>
            </w:pPr>
            <w:r w:rsidRPr="00717747">
              <w:rPr>
                <w:sz w:val="20"/>
                <w:szCs w:val="20"/>
                <w:lang w:val="uk-UA"/>
              </w:rPr>
              <w:t>72,7</w:t>
            </w:r>
          </w:p>
        </w:tc>
        <w:tc>
          <w:tcPr>
            <w:tcW w:w="990" w:type="dxa"/>
          </w:tcPr>
          <w:p w:rsidR="007A7A63" w:rsidRPr="00717747" w:rsidRDefault="007A7A63" w:rsidP="008C6722">
            <w:pPr>
              <w:jc w:val="center"/>
              <w:rPr>
                <w:sz w:val="20"/>
                <w:szCs w:val="20"/>
                <w:lang w:val="uk-UA"/>
              </w:rPr>
            </w:pPr>
            <w:r w:rsidRPr="00717747">
              <w:rPr>
                <w:sz w:val="20"/>
                <w:szCs w:val="20"/>
                <w:lang w:val="uk-UA"/>
              </w:rPr>
              <w:t>65</w:t>
            </w:r>
          </w:p>
        </w:tc>
        <w:tc>
          <w:tcPr>
            <w:tcW w:w="991" w:type="dxa"/>
          </w:tcPr>
          <w:p w:rsidR="007A7A63" w:rsidRPr="00717747" w:rsidRDefault="007A7A63" w:rsidP="008C6722">
            <w:pPr>
              <w:jc w:val="center"/>
              <w:rPr>
                <w:sz w:val="20"/>
                <w:szCs w:val="20"/>
                <w:lang w:val="uk-UA"/>
              </w:rPr>
            </w:pPr>
            <w:r w:rsidRPr="00717747">
              <w:rPr>
                <w:sz w:val="20"/>
                <w:szCs w:val="20"/>
                <w:lang w:val="uk-UA"/>
              </w:rPr>
              <w:t>67,7</w:t>
            </w:r>
          </w:p>
        </w:tc>
        <w:tc>
          <w:tcPr>
            <w:tcW w:w="990" w:type="dxa"/>
          </w:tcPr>
          <w:p w:rsidR="007A7A63" w:rsidRPr="00717747" w:rsidRDefault="007A7A63" w:rsidP="008C6722">
            <w:pPr>
              <w:spacing w:line="360" w:lineRule="auto"/>
              <w:jc w:val="center"/>
              <w:rPr>
                <w:sz w:val="20"/>
                <w:szCs w:val="20"/>
                <w:lang w:val="uk-UA"/>
              </w:rPr>
            </w:pPr>
            <w:r w:rsidRPr="00717747">
              <w:rPr>
                <w:sz w:val="20"/>
                <w:szCs w:val="20"/>
                <w:lang w:val="uk-UA"/>
              </w:rPr>
              <w:t>54</w:t>
            </w:r>
          </w:p>
        </w:tc>
        <w:tc>
          <w:tcPr>
            <w:tcW w:w="991" w:type="dxa"/>
          </w:tcPr>
          <w:p w:rsidR="007A7A63" w:rsidRPr="00717747" w:rsidRDefault="007A7A63" w:rsidP="008C6722">
            <w:pPr>
              <w:spacing w:line="360" w:lineRule="auto"/>
              <w:jc w:val="center"/>
              <w:rPr>
                <w:sz w:val="20"/>
                <w:szCs w:val="20"/>
                <w:lang w:val="uk-UA"/>
              </w:rPr>
            </w:pPr>
            <w:r w:rsidRPr="00717747">
              <w:rPr>
                <w:sz w:val="20"/>
                <w:szCs w:val="20"/>
                <w:lang w:val="uk-UA"/>
              </w:rPr>
              <w:t>65,9</w:t>
            </w:r>
          </w:p>
        </w:tc>
      </w:tr>
      <w:tr w:rsidR="007A7A63" w:rsidRPr="00717747" w:rsidTr="008C6722">
        <w:tc>
          <w:tcPr>
            <w:tcW w:w="2283" w:type="dxa"/>
          </w:tcPr>
          <w:p w:rsidR="007A7A63" w:rsidRPr="00717747" w:rsidRDefault="007A7A63" w:rsidP="008C6722">
            <w:pPr>
              <w:jc w:val="both"/>
              <w:rPr>
                <w:sz w:val="20"/>
                <w:szCs w:val="20"/>
                <w:lang w:val="uk-UA"/>
              </w:rPr>
            </w:pPr>
            <w:r w:rsidRPr="00717747">
              <w:rPr>
                <w:i/>
                <w:sz w:val="20"/>
                <w:szCs w:val="20"/>
                <w:lang w:val="uk-UA"/>
              </w:rPr>
              <w:t>Неплатоспроможні</w:t>
            </w:r>
          </w:p>
        </w:tc>
        <w:tc>
          <w:tcPr>
            <w:tcW w:w="990" w:type="dxa"/>
          </w:tcPr>
          <w:p w:rsidR="007A7A63" w:rsidRPr="00717747" w:rsidRDefault="007A7A63" w:rsidP="008C6722">
            <w:pPr>
              <w:jc w:val="center"/>
              <w:rPr>
                <w:i/>
                <w:sz w:val="20"/>
                <w:szCs w:val="20"/>
                <w:lang w:val="uk-UA"/>
              </w:rPr>
            </w:pPr>
            <w:r w:rsidRPr="00717747">
              <w:rPr>
                <w:i/>
                <w:sz w:val="20"/>
                <w:szCs w:val="20"/>
                <w:lang w:val="uk-UA"/>
              </w:rPr>
              <w:t>16</w:t>
            </w:r>
          </w:p>
        </w:tc>
        <w:tc>
          <w:tcPr>
            <w:tcW w:w="990" w:type="dxa"/>
          </w:tcPr>
          <w:p w:rsidR="007A7A63" w:rsidRPr="00717747" w:rsidRDefault="007A7A63" w:rsidP="008C6722">
            <w:pPr>
              <w:jc w:val="center"/>
              <w:rPr>
                <w:i/>
                <w:sz w:val="20"/>
                <w:szCs w:val="20"/>
                <w:lang w:val="uk-UA"/>
              </w:rPr>
            </w:pPr>
            <w:r w:rsidRPr="00717747">
              <w:rPr>
                <w:i/>
                <w:sz w:val="20"/>
                <w:szCs w:val="20"/>
                <w:lang w:val="uk-UA"/>
              </w:rPr>
              <w:t>10,9</w:t>
            </w:r>
          </w:p>
        </w:tc>
        <w:tc>
          <w:tcPr>
            <w:tcW w:w="991" w:type="dxa"/>
          </w:tcPr>
          <w:p w:rsidR="007A7A63" w:rsidRPr="00717747" w:rsidRDefault="007A7A63" w:rsidP="008C6722">
            <w:pPr>
              <w:jc w:val="center"/>
              <w:rPr>
                <w:i/>
                <w:sz w:val="20"/>
                <w:szCs w:val="20"/>
                <w:lang w:val="uk-UA"/>
              </w:rPr>
            </w:pPr>
            <w:r w:rsidRPr="00717747">
              <w:rPr>
                <w:i/>
                <w:sz w:val="20"/>
                <w:szCs w:val="20"/>
                <w:lang w:val="uk-UA"/>
              </w:rPr>
              <w:t>3</w:t>
            </w:r>
          </w:p>
        </w:tc>
        <w:tc>
          <w:tcPr>
            <w:tcW w:w="990" w:type="dxa"/>
          </w:tcPr>
          <w:p w:rsidR="007A7A63" w:rsidRPr="00717747" w:rsidRDefault="007A7A63" w:rsidP="008C6722">
            <w:pPr>
              <w:jc w:val="center"/>
              <w:rPr>
                <w:i/>
                <w:sz w:val="20"/>
                <w:szCs w:val="20"/>
                <w:lang w:val="uk-UA"/>
              </w:rPr>
            </w:pPr>
            <w:r w:rsidRPr="00717747">
              <w:rPr>
                <w:i/>
                <w:sz w:val="20"/>
                <w:szCs w:val="20"/>
                <w:lang w:val="uk-UA"/>
              </w:rPr>
              <w:t>2,6</w:t>
            </w:r>
          </w:p>
        </w:tc>
        <w:tc>
          <w:tcPr>
            <w:tcW w:w="990" w:type="dxa"/>
          </w:tcPr>
          <w:p w:rsidR="007A7A63" w:rsidRPr="00717747" w:rsidRDefault="007A7A63" w:rsidP="008C6722">
            <w:pPr>
              <w:jc w:val="center"/>
              <w:rPr>
                <w:i/>
                <w:sz w:val="20"/>
                <w:szCs w:val="20"/>
                <w:lang w:val="uk-UA"/>
              </w:rPr>
            </w:pPr>
            <w:r w:rsidRPr="00717747">
              <w:rPr>
                <w:i/>
                <w:sz w:val="20"/>
                <w:szCs w:val="20"/>
                <w:lang w:val="uk-UA"/>
              </w:rPr>
              <w:t>4</w:t>
            </w:r>
          </w:p>
        </w:tc>
        <w:tc>
          <w:tcPr>
            <w:tcW w:w="991" w:type="dxa"/>
          </w:tcPr>
          <w:p w:rsidR="007A7A63" w:rsidRPr="00717747" w:rsidRDefault="007A7A63" w:rsidP="008C6722">
            <w:pPr>
              <w:jc w:val="center"/>
              <w:rPr>
                <w:i/>
                <w:sz w:val="20"/>
                <w:szCs w:val="20"/>
                <w:lang w:val="uk-UA"/>
              </w:rPr>
            </w:pPr>
            <w:r w:rsidRPr="00717747">
              <w:rPr>
                <w:i/>
                <w:sz w:val="20"/>
                <w:szCs w:val="20"/>
                <w:lang w:val="uk-UA"/>
              </w:rPr>
              <w:t>4,2</w:t>
            </w:r>
          </w:p>
        </w:tc>
        <w:tc>
          <w:tcPr>
            <w:tcW w:w="990" w:type="dxa"/>
          </w:tcPr>
          <w:p w:rsidR="007A7A63" w:rsidRPr="00717747" w:rsidRDefault="007A7A63" w:rsidP="008C6722">
            <w:pPr>
              <w:spacing w:line="360" w:lineRule="auto"/>
              <w:jc w:val="center"/>
              <w:rPr>
                <w:i/>
                <w:sz w:val="20"/>
                <w:szCs w:val="20"/>
                <w:lang w:val="uk-UA"/>
              </w:rPr>
            </w:pPr>
            <w:r w:rsidRPr="00717747">
              <w:rPr>
                <w:i/>
                <w:sz w:val="20"/>
                <w:szCs w:val="20"/>
                <w:lang w:val="uk-UA"/>
              </w:rPr>
              <w:t>2</w:t>
            </w:r>
          </w:p>
        </w:tc>
        <w:tc>
          <w:tcPr>
            <w:tcW w:w="991" w:type="dxa"/>
          </w:tcPr>
          <w:p w:rsidR="007A7A63" w:rsidRPr="00717747" w:rsidRDefault="007A7A63" w:rsidP="008C6722">
            <w:pPr>
              <w:spacing w:line="360" w:lineRule="auto"/>
              <w:jc w:val="center"/>
              <w:rPr>
                <w:i/>
                <w:sz w:val="20"/>
                <w:szCs w:val="20"/>
                <w:lang w:val="uk-UA"/>
              </w:rPr>
            </w:pPr>
            <w:r w:rsidRPr="00717747">
              <w:rPr>
                <w:i/>
                <w:sz w:val="20"/>
                <w:szCs w:val="20"/>
                <w:lang w:val="uk-UA"/>
              </w:rPr>
              <w:t>2,4</w:t>
            </w:r>
          </w:p>
        </w:tc>
      </w:tr>
    </w:tbl>
    <w:p w:rsidR="007A7A63" w:rsidRPr="008C6722" w:rsidRDefault="007A7A63" w:rsidP="007A7A63">
      <w:pPr>
        <w:tabs>
          <w:tab w:val="left" w:pos="142"/>
        </w:tabs>
        <w:spacing w:after="0" w:line="360" w:lineRule="auto"/>
        <w:jc w:val="both"/>
        <w:rPr>
          <w:sz w:val="18"/>
          <w:szCs w:val="20"/>
          <w:lang w:val="uk-UA"/>
        </w:rPr>
      </w:pPr>
      <w:r w:rsidRPr="008C6722">
        <w:rPr>
          <w:color w:val="auto"/>
          <w:sz w:val="18"/>
          <w:szCs w:val="20"/>
          <w:lang w:val="uk-UA"/>
        </w:rPr>
        <w:t xml:space="preserve">Примітка. Складено автором за даними </w:t>
      </w:r>
      <w:r w:rsidRPr="008C6722">
        <w:rPr>
          <w:sz w:val="18"/>
          <w:szCs w:val="20"/>
          <w:lang w:val="uk-UA"/>
        </w:rPr>
        <w:t>[</w:t>
      </w:r>
      <w:r w:rsidR="008C6722">
        <w:rPr>
          <w:sz w:val="18"/>
          <w:szCs w:val="20"/>
          <w:lang w:val="uk-UA"/>
        </w:rPr>
        <w:t>6</w:t>
      </w:r>
      <w:r w:rsidRPr="008C6722">
        <w:rPr>
          <w:sz w:val="18"/>
          <w:szCs w:val="20"/>
          <w:lang w:val="uk-UA"/>
        </w:rPr>
        <w:t>]</w:t>
      </w:r>
    </w:p>
    <w:p w:rsidR="004E37AC" w:rsidRPr="00717747" w:rsidRDefault="004E37AC" w:rsidP="004E37AC">
      <w:pPr>
        <w:tabs>
          <w:tab w:val="left" w:pos="142"/>
        </w:tabs>
        <w:spacing w:after="0" w:line="240" w:lineRule="auto"/>
        <w:ind w:firstLine="709"/>
        <w:jc w:val="both"/>
        <w:rPr>
          <w:color w:val="auto"/>
          <w:sz w:val="20"/>
          <w:szCs w:val="20"/>
          <w:lang w:val="uk-UA"/>
        </w:rPr>
      </w:pPr>
      <w:r w:rsidRPr="00717747">
        <w:rPr>
          <w:color w:val="auto"/>
          <w:sz w:val="20"/>
          <w:szCs w:val="20"/>
          <w:lang w:val="uk-UA"/>
        </w:rPr>
        <w:t xml:space="preserve">Як видно з аналізу даних табл. </w:t>
      </w:r>
      <w:r w:rsidR="00425268" w:rsidRPr="00717747">
        <w:rPr>
          <w:color w:val="auto"/>
          <w:sz w:val="20"/>
          <w:szCs w:val="20"/>
          <w:lang w:val="uk-UA"/>
        </w:rPr>
        <w:t>2</w:t>
      </w:r>
      <w:r w:rsidRPr="00717747">
        <w:rPr>
          <w:color w:val="auto"/>
          <w:sz w:val="20"/>
          <w:szCs w:val="20"/>
          <w:lang w:val="uk-UA"/>
        </w:rPr>
        <w:t>, функціонування банківської сфери на сучасному етапі характеризує тенденція скорочення кількості вітчизняних банків, а частка іноземних банків в загальній кількості таких установ є досить вагомою (28,1%).</w:t>
      </w:r>
    </w:p>
    <w:p w:rsidR="002517A4" w:rsidRDefault="002517A4" w:rsidP="004E37AC">
      <w:pPr>
        <w:tabs>
          <w:tab w:val="left" w:pos="142"/>
        </w:tabs>
        <w:spacing w:after="0" w:line="240" w:lineRule="auto"/>
        <w:ind w:firstLine="709"/>
        <w:jc w:val="both"/>
        <w:rPr>
          <w:sz w:val="20"/>
          <w:szCs w:val="20"/>
          <w:lang w:val="uk-UA"/>
        </w:rPr>
      </w:pPr>
      <w:r w:rsidRPr="00717747">
        <w:rPr>
          <w:sz w:val="20"/>
          <w:szCs w:val="20"/>
          <w:lang w:val="uk-UA"/>
        </w:rPr>
        <w:t xml:space="preserve">Сьогодні в банківській системі України найбільша частка власного капіталу зосереджена в банках іноземних </w:t>
      </w:r>
      <w:proofErr w:type="spellStart"/>
      <w:r w:rsidRPr="00717747">
        <w:rPr>
          <w:sz w:val="20"/>
          <w:szCs w:val="20"/>
          <w:lang w:val="uk-UA"/>
        </w:rPr>
        <w:t>групп</w:t>
      </w:r>
      <w:proofErr w:type="spellEnd"/>
      <w:r w:rsidRPr="00717747">
        <w:rPr>
          <w:sz w:val="20"/>
          <w:szCs w:val="20"/>
          <w:lang w:val="uk-UA"/>
        </w:rPr>
        <w:t xml:space="preserve">. Так, </w:t>
      </w:r>
      <w:r w:rsidRPr="00717747">
        <w:rPr>
          <w:sz w:val="20"/>
          <w:szCs w:val="20"/>
        </w:rPr>
        <w:t>станом на 01.01.201</w:t>
      </w:r>
      <w:r w:rsidRPr="00717747">
        <w:rPr>
          <w:sz w:val="20"/>
          <w:szCs w:val="20"/>
          <w:lang w:val="uk-UA"/>
        </w:rPr>
        <w:t>8</w:t>
      </w:r>
      <w:r w:rsidRPr="00717747">
        <w:rPr>
          <w:sz w:val="20"/>
          <w:szCs w:val="20"/>
        </w:rPr>
        <w:t xml:space="preserve"> р</w:t>
      </w:r>
      <w:r w:rsidRPr="00717747">
        <w:rPr>
          <w:sz w:val="20"/>
          <w:szCs w:val="20"/>
          <w:lang w:val="uk-UA"/>
        </w:rPr>
        <w:t>оку</w:t>
      </w:r>
      <w:r w:rsidRPr="00717747">
        <w:rPr>
          <w:sz w:val="20"/>
          <w:szCs w:val="20"/>
        </w:rPr>
        <w:t xml:space="preserve"> </w:t>
      </w:r>
      <w:r w:rsidRPr="00717747">
        <w:rPr>
          <w:sz w:val="20"/>
          <w:szCs w:val="20"/>
          <w:lang w:val="uk-UA"/>
        </w:rPr>
        <w:t>ч</w:t>
      </w:r>
      <w:proofErr w:type="spellStart"/>
      <w:r w:rsidRPr="00717747">
        <w:rPr>
          <w:sz w:val="20"/>
          <w:szCs w:val="20"/>
        </w:rPr>
        <w:t>астка</w:t>
      </w:r>
      <w:proofErr w:type="spellEnd"/>
      <w:r w:rsidRPr="00717747">
        <w:rPr>
          <w:sz w:val="20"/>
          <w:szCs w:val="20"/>
        </w:rPr>
        <w:t xml:space="preserve"> </w:t>
      </w:r>
      <w:proofErr w:type="spellStart"/>
      <w:r w:rsidRPr="00717747">
        <w:rPr>
          <w:sz w:val="20"/>
          <w:szCs w:val="20"/>
        </w:rPr>
        <w:t>іноземного</w:t>
      </w:r>
      <w:proofErr w:type="spellEnd"/>
      <w:r w:rsidRPr="00717747">
        <w:rPr>
          <w:sz w:val="20"/>
          <w:szCs w:val="20"/>
        </w:rPr>
        <w:t xml:space="preserve"> </w:t>
      </w:r>
      <w:proofErr w:type="spellStart"/>
      <w:r w:rsidRPr="00717747">
        <w:rPr>
          <w:sz w:val="20"/>
          <w:szCs w:val="20"/>
        </w:rPr>
        <w:t>капіталу</w:t>
      </w:r>
      <w:proofErr w:type="spellEnd"/>
      <w:r w:rsidRPr="00717747">
        <w:rPr>
          <w:sz w:val="20"/>
          <w:szCs w:val="20"/>
        </w:rPr>
        <w:t xml:space="preserve"> </w:t>
      </w:r>
      <w:r w:rsidRPr="00717747">
        <w:rPr>
          <w:sz w:val="20"/>
          <w:szCs w:val="20"/>
          <w:lang w:val="uk-UA"/>
        </w:rPr>
        <w:t xml:space="preserve">в </w:t>
      </w:r>
      <w:proofErr w:type="spellStart"/>
      <w:r w:rsidRPr="00717747">
        <w:rPr>
          <w:sz w:val="20"/>
          <w:szCs w:val="20"/>
        </w:rPr>
        <w:t>статуному</w:t>
      </w:r>
      <w:proofErr w:type="spellEnd"/>
      <w:r w:rsidRPr="00717747">
        <w:rPr>
          <w:sz w:val="20"/>
          <w:szCs w:val="20"/>
        </w:rPr>
        <w:t xml:space="preserve"> </w:t>
      </w:r>
      <w:proofErr w:type="spellStart"/>
      <w:r w:rsidRPr="00717747">
        <w:rPr>
          <w:sz w:val="20"/>
          <w:szCs w:val="20"/>
        </w:rPr>
        <w:t>капіталі</w:t>
      </w:r>
      <w:proofErr w:type="spellEnd"/>
      <w:r w:rsidRPr="00717747">
        <w:rPr>
          <w:sz w:val="20"/>
          <w:szCs w:val="20"/>
        </w:rPr>
        <w:t xml:space="preserve"> </w:t>
      </w:r>
      <w:proofErr w:type="spellStart"/>
      <w:r w:rsidRPr="00717747">
        <w:rPr>
          <w:sz w:val="20"/>
          <w:szCs w:val="20"/>
        </w:rPr>
        <w:t>банків</w:t>
      </w:r>
      <w:proofErr w:type="spellEnd"/>
      <w:r w:rsidRPr="00717747">
        <w:rPr>
          <w:sz w:val="20"/>
          <w:szCs w:val="20"/>
          <w:lang w:val="uk-UA"/>
        </w:rPr>
        <w:t xml:space="preserve"> становить</w:t>
      </w:r>
      <w:r w:rsidRPr="00717747">
        <w:rPr>
          <w:sz w:val="20"/>
          <w:szCs w:val="20"/>
        </w:rPr>
        <w:t xml:space="preserve"> 48,84%</w:t>
      </w:r>
      <w:r w:rsidRPr="00717747">
        <w:rPr>
          <w:sz w:val="20"/>
          <w:szCs w:val="20"/>
          <w:lang w:val="uk-UA"/>
        </w:rPr>
        <w:t xml:space="preserve"> </w:t>
      </w:r>
      <w:r w:rsidRPr="00717747">
        <w:rPr>
          <w:sz w:val="20"/>
          <w:szCs w:val="20"/>
        </w:rPr>
        <w:t>[</w:t>
      </w:r>
      <w:r w:rsidR="008C6722">
        <w:rPr>
          <w:sz w:val="20"/>
          <w:szCs w:val="20"/>
          <w:lang w:val="uk-UA"/>
        </w:rPr>
        <w:t>6</w:t>
      </w:r>
      <w:r w:rsidRPr="00717747">
        <w:rPr>
          <w:sz w:val="20"/>
          <w:szCs w:val="20"/>
        </w:rPr>
        <w:t>]</w:t>
      </w:r>
      <w:r w:rsidRPr="00717747">
        <w:rPr>
          <w:sz w:val="20"/>
          <w:szCs w:val="20"/>
          <w:lang w:val="uk-UA"/>
        </w:rPr>
        <w:t xml:space="preserve">, (рис. </w:t>
      </w:r>
      <w:r w:rsidR="00425268" w:rsidRPr="00717747">
        <w:rPr>
          <w:sz w:val="20"/>
          <w:szCs w:val="20"/>
          <w:lang w:val="uk-UA"/>
        </w:rPr>
        <w:t>2</w:t>
      </w:r>
      <w:r w:rsidRPr="00717747">
        <w:rPr>
          <w:sz w:val="20"/>
          <w:szCs w:val="20"/>
          <w:lang w:val="uk-UA"/>
        </w:rPr>
        <w:t>):</w:t>
      </w:r>
    </w:p>
    <w:p w:rsidR="00E80871" w:rsidRPr="00717747" w:rsidRDefault="00E80871" w:rsidP="004E37AC">
      <w:pPr>
        <w:tabs>
          <w:tab w:val="left" w:pos="142"/>
        </w:tabs>
        <w:spacing w:after="0" w:line="240" w:lineRule="auto"/>
        <w:ind w:firstLine="709"/>
        <w:jc w:val="both"/>
        <w:rPr>
          <w:sz w:val="20"/>
          <w:szCs w:val="20"/>
          <w:lang w:val="uk-UA"/>
        </w:rPr>
      </w:pPr>
    </w:p>
    <w:p w:rsidR="002517A4" w:rsidRPr="00717747" w:rsidRDefault="002517A4" w:rsidP="00A60202">
      <w:pPr>
        <w:tabs>
          <w:tab w:val="left" w:pos="0"/>
        </w:tabs>
        <w:spacing w:after="0" w:line="240" w:lineRule="auto"/>
        <w:jc w:val="center"/>
        <w:rPr>
          <w:color w:val="auto"/>
          <w:sz w:val="20"/>
          <w:szCs w:val="20"/>
          <w:lang w:val="uk-UA"/>
        </w:rPr>
      </w:pPr>
      <w:r w:rsidRPr="00717747">
        <w:rPr>
          <w:noProof/>
          <w:sz w:val="20"/>
          <w:szCs w:val="20"/>
          <w:lang w:val="uk-UA" w:eastAsia="uk-UA"/>
        </w:rPr>
        <w:drawing>
          <wp:inline distT="0" distB="0" distL="0" distR="0" wp14:anchorId="4394860B" wp14:editId="33E73C39">
            <wp:extent cx="4844956" cy="1787856"/>
            <wp:effectExtent l="0" t="0" r="13335" b="222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517A4" w:rsidRPr="001D31E2" w:rsidRDefault="002517A4" w:rsidP="002517A4">
      <w:pPr>
        <w:spacing w:after="0" w:line="240" w:lineRule="auto"/>
        <w:jc w:val="center"/>
        <w:rPr>
          <w:b/>
          <w:sz w:val="20"/>
          <w:szCs w:val="20"/>
          <w:lang w:val="uk-UA"/>
        </w:rPr>
      </w:pPr>
      <w:r w:rsidRPr="001D31E2">
        <w:rPr>
          <w:b/>
          <w:sz w:val="20"/>
          <w:szCs w:val="20"/>
          <w:lang w:val="uk-UA"/>
        </w:rPr>
        <w:t xml:space="preserve">Рис. </w:t>
      </w:r>
      <w:r w:rsidR="00425268" w:rsidRPr="001D31E2">
        <w:rPr>
          <w:b/>
          <w:sz w:val="20"/>
          <w:szCs w:val="20"/>
          <w:lang w:val="uk-UA"/>
        </w:rPr>
        <w:t>2</w:t>
      </w:r>
      <w:r w:rsidRPr="001D31E2">
        <w:rPr>
          <w:b/>
          <w:sz w:val="20"/>
          <w:szCs w:val="20"/>
          <w:lang w:val="uk-UA"/>
        </w:rPr>
        <w:t>. Розподіл власного капіталу з</w:t>
      </w:r>
      <w:r w:rsidR="00425268" w:rsidRPr="001D31E2">
        <w:rPr>
          <w:b/>
          <w:sz w:val="20"/>
          <w:szCs w:val="20"/>
          <w:lang w:val="uk-UA"/>
        </w:rPr>
        <w:t>а групами банків в Україні, 2017</w:t>
      </w:r>
      <w:r w:rsidRPr="001D31E2">
        <w:rPr>
          <w:b/>
          <w:sz w:val="20"/>
          <w:szCs w:val="20"/>
          <w:lang w:val="uk-UA"/>
        </w:rPr>
        <w:t xml:space="preserve"> р.</w:t>
      </w:r>
    </w:p>
    <w:p w:rsidR="002517A4" w:rsidRPr="00717747" w:rsidRDefault="002517A4" w:rsidP="002517A4">
      <w:pPr>
        <w:spacing w:after="0" w:line="240" w:lineRule="auto"/>
        <w:jc w:val="both"/>
        <w:rPr>
          <w:color w:val="auto"/>
          <w:sz w:val="20"/>
          <w:szCs w:val="20"/>
          <w:lang w:val="uk-UA"/>
        </w:rPr>
      </w:pPr>
      <w:r w:rsidRPr="00717747">
        <w:rPr>
          <w:color w:val="auto"/>
          <w:sz w:val="20"/>
          <w:szCs w:val="20"/>
          <w:lang w:val="uk-UA"/>
        </w:rPr>
        <w:t xml:space="preserve">Примітка. Побудовано автором на основі </w:t>
      </w:r>
      <w:r w:rsidRPr="00717747">
        <w:rPr>
          <w:sz w:val="20"/>
          <w:szCs w:val="20"/>
          <w:lang w:val="uk-UA"/>
        </w:rPr>
        <w:t>[</w:t>
      </w:r>
      <w:r w:rsidR="008C6722">
        <w:rPr>
          <w:sz w:val="20"/>
          <w:szCs w:val="20"/>
          <w:lang w:val="uk-UA"/>
        </w:rPr>
        <w:t>6</w:t>
      </w:r>
      <w:r w:rsidRPr="00717747">
        <w:rPr>
          <w:sz w:val="20"/>
          <w:szCs w:val="20"/>
          <w:lang w:val="uk-UA"/>
        </w:rPr>
        <w:t>]</w:t>
      </w:r>
    </w:p>
    <w:p w:rsidR="002517A4" w:rsidRPr="00717747" w:rsidRDefault="002517A4" w:rsidP="002517A4">
      <w:pPr>
        <w:spacing w:after="0" w:line="240" w:lineRule="auto"/>
        <w:jc w:val="both"/>
        <w:rPr>
          <w:sz w:val="20"/>
          <w:szCs w:val="20"/>
          <w:lang w:val="uk-UA"/>
        </w:rPr>
      </w:pPr>
    </w:p>
    <w:p w:rsidR="002517A4" w:rsidRPr="00717747" w:rsidRDefault="002517A4" w:rsidP="002517A4">
      <w:pPr>
        <w:spacing w:after="0" w:line="240" w:lineRule="auto"/>
        <w:ind w:firstLine="709"/>
        <w:jc w:val="both"/>
        <w:rPr>
          <w:sz w:val="20"/>
          <w:szCs w:val="20"/>
          <w:lang w:val="uk-UA"/>
        </w:rPr>
      </w:pPr>
      <w:r w:rsidRPr="00717747">
        <w:rPr>
          <w:sz w:val="20"/>
          <w:szCs w:val="20"/>
          <w:lang w:val="uk-UA"/>
        </w:rPr>
        <w:t>Другу позицію займають банки з державною формою власності – 44,10%, які поступово зміцнюють власні позиції. Цей факт свідчить про поступову трансформацію системно важливих банків в державні та домінування останніх відносно приватних банків.</w:t>
      </w:r>
    </w:p>
    <w:p w:rsidR="00A60202" w:rsidRDefault="00A60202" w:rsidP="00A60202">
      <w:pPr>
        <w:spacing w:after="0" w:line="240" w:lineRule="auto"/>
        <w:ind w:firstLine="709"/>
        <w:jc w:val="both"/>
        <w:rPr>
          <w:sz w:val="20"/>
          <w:szCs w:val="20"/>
          <w:lang w:val="uk-UA"/>
        </w:rPr>
      </w:pPr>
      <w:r w:rsidRPr="00A60202">
        <w:rPr>
          <w:sz w:val="20"/>
          <w:szCs w:val="20"/>
          <w:lang w:val="uk-UA"/>
        </w:rPr>
        <w:lastRenderedPageBreak/>
        <w:t>Для поточного періоду характерн</w:t>
      </w:r>
      <w:r>
        <w:rPr>
          <w:sz w:val="20"/>
          <w:szCs w:val="20"/>
          <w:lang w:val="uk-UA"/>
        </w:rPr>
        <w:t>е</w:t>
      </w:r>
      <w:r w:rsidRPr="00A60202">
        <w:rPr>
          <w:sz w:val="20"/>
          <w:szCs w:val="20"/>
          <w:lang w:val="uk-UA"/>
        </w:rPr>
        <w:t xml:space="preserve"> підвищення рівня концентрації капіталу, посилення конкуренції, зростання вимог до достатності банківського</w:t>
      </w:r>
      <w:r>
        <w:rPr>
          <w:sz w:val="20"/>
          <w:szCs w:val="20"/>
          <w:lang w:val="uk-UA"/>
        </w:rPr>
        <w:t xml:space="preserve"> </w:t>
      </w:r>
      <w:r w:rsidRPr="00A60202">
        <w:rPr>
          <w:sz w:val="20"/>
          <w:szCs w:val="20"/>
          <w:lang w:val="uk-UA"/>
        </w:rPr>
        <w:t>капіталу. Дані фактори змушують банки шукати шлях</w:t>
      </w:r>
      <w:r>
        <w:rPr>
          <w:sz w:val="20"/>
          <w:szCs w:val="20"/>
          <w:lang w:val="uk-UA"/>
        </w:rPr>
        <w:t xml:space="preserve">  </w:t>
      </w:r>
      <w:r w:rsidRPr="00A60202">
        <w:rPr>
          <w:sz w:val="20"/>
          <w:szCs w:val="20"/>
          <w:lang w:val="uk-UA"/>
        </w:rPr>
        <w:t>підвищення своєї конкурентоспроможності.</w:t>
      </w:r>
    </w:p>
    <w:p w:rsidR="002517A4" w:rsidRPr="00717747" w:rsidRDefault="002517A4" w:rsidP="002517A4">
      <w:pPr>
        <w:spacing w:after="0" w:line="240" w:lineRule="auto"/>
        <w:ind w:firstLine="709"/>
        <w:jc w:val="both"/>
        <w:rPr>
          <w:sz w:val="20"/>
          <w:szCs w:val="20"/>
          <w:lang w:val="uk-UA"/>
        </w:rPr>
      </w:pPr>
      <w:r w:rsidRPr="00717747">
        <w:rPr>
          <w:sz w:val="20"/>
          <w:szCs w:val="20"/>
          <w:lang w:val="uk-UA"/>
        </w:rPr>
        <w:t xml:space="preserve">Також в банківській сфері України склалася негативна тенденція щодо виходу іноземних банків з українського ринку. Так, протягом останніх років з українського ринку вийшла значна кількість іноземних інвесторів, що мали частку в українських банках, а головні акціонери яких знаходяться в економічно розвинутих європейських країнах, наприклад, </w:t>
      </w:r>
      <w:proofErr w:type="spellStart"/>
      <w:r w:rsidRPr="00717747">
        <w:rPr>
          <w:sz w:val="20"/>
          <w:szCs w:val="20"/>
          <w:lang w:val="uk-UA"/>
        </w:rPr>
        <w:t>Bayerische</w:t>
      </w:r>
      <w:proofErr w:type="spellEnd"/>
      <w:r w:rsidRPr="00717747">
        <w:rPr>
          <w:sz w:val="20"/>
          <w:szCs w:val="20"/>
          <w:lang w:val="uk-UA"/>
        </w:rPr>
        <w:t xml:space="preserve"> </w:t>
      </w:r>
      <w:proofErr w:type="spellStart"/>
      <w:r w:rsidRPr="00717747">
        <w:rPr>
          <w:sz w:val="20"/>
          <w:szCs w:val="20"/>
          <w:lang w:val="uk-UA"/>
        </w:rPr>
        <w:t>Landesbank</w:t>
      </w:r>
      <w:proofErr w:type="spellEnd"/>
      <w:r w:rsidRPr="00717747">
        <w:rPr>
          <w:sz w:val="20"/>
          <w:szCs w:val="20"/>
          <w:lang w:val="uk-UA"/>
        </w:rPr>
        <w:t xml:space="preserve"> (Німеччина), </w:t>
      </w:r>
      <w:proofErr w:type="spellStart"/>
      <w:r w:rsidRPr="00717747">
        <w:rPr>
          <w:sz w:val="20"/>
          <w:szCs w:val="20"/>
          <w:lang w:val="uk-UA"/>
        </w:rPr>
        <w:t>Volksbank</w:t>
      </w:r>
      <w:proofErr w:type="spellEnd"/>
      <w:r w:rsidRPr="00717747">
        <w:rPr>
          <w:sz w:val="20"/>
          <w:szCs w:val="20"/>
          <w:lang w:val="uk-UA"/>
        </w:rPr>
        <w:t xml:space="preserve"> (Австрія), </w:t>
      </w:r>
      <w:proofErr w:type="spellStart"/>
      <w:r w:rsidRPr="00717747">
        <w:rPr>
          <w:sz w:val="20"/>
          <w:szCs w:val="20"/>
          <w:lang w:val="uk-UA"/>
        </w:rPr>
        <w:t>Bank</w:t>
      </w:r>
      <w:proofErr w:type="spellEnd"/>
      <w:r w:rsidRPr="00717747">
        <w:rPr>
          <w:sz w:val="20"/>
          <w:szCs w:val="20"/>
          <w:lang w:val="uk-UA"/>
        </w:rPr>
        <w:t xml:space="preserve"> </w:t>
      </w:r>
      <w:proofErr w:type="spellStart"/>
      <w:r w:rsidRPr="00717747">
        <w:rPr>
          <w:sz w:val="20"/>
          <w:szCs w:val="20"/>
          <w:lang w:val="uk-UA"/>
        </w:rPr>
        <w:t>Forum</w:t>
      </w:r>
      <w:proofErr w:type="spellEnd"/>
      <w:r w:rsidRPr="00717747">
        <w:rPr>
          <w:sz w:val="20"/>
          <w:szCs w:val="20"/>
          <w:lang w:val="uk-UA"/>
        </w:rPr>
        <w:t xml:space="preserve"> (Німеччина), </w:t>
      </w:r>
      <w:proofErr w:type="spellStart"/>
      <w:r w:rsidRPr="00717747">
        <w:rPr>
          <w:sz w:val="20"/>
          <w:szCs w:val="20"/>
          <w:lang w:val="uk-UA"/>
        </w:rPr>
        <w:t>Societe</w:t>
      </w:r>
      <w:proofErr w:type="spellEnd"/>
      <w:r w:rsidRPr="00717747">
        <w:rPr>
          <w:sz w:val="20"/>
          <w:szCs w:val="20"/>
          <w:lang w:val="uk-UA"/>
        </w:rPr>
        <w:t xml:space="preserve"> </w:t>
      </w:r>
      <w:proofErr w:type="spellStart"/>
      <w:r w:rsidRPr="00717747">
        <w:rPr>
          <w:sz w:val="20"/>
          <w:szCs w:val="20"/>
          <w:lang w:val="uk-UA"/>
        </w:rPr>
        <w:t>Generale</w:t>
      </w:r>
      <w:proofErr w:type="spellEnd"/>
      <w:r w:rsidRPr="00717747">
        <w:rPr>
          <w:sz w:val="20"/>
          <w:szCs w:val="20"/>
          <w:lang w:val="uk-UA"/>
        </w:rPr>
        <w:t xml:space="preserve"> (Франція), </w:t>
      </w:r>
      <w:proofErr w:type="spellStart"/>
      <w:r w:rsidRPr="00717747">
        <w:rPr>
          <w:sz w:val="20"/>
          <w:szCs w:val="20"/>
          <w:lang w:val="uk-UA"/>
        </w:rPr>
        <w:t>Erste</w:t>
      </w:r>
      <w:proofErr w:type="spellEnd"/>
      <w:r w:rsidRPr="00717747">
        <w:rPr>
          <w:sz w:val="20"/>
          <w:szCs w:val="20"/>
          <w:lang w:val="uk-UA"/>
        </w:rPr>
        <w:t xml:space="preserve"> </w:t>
      </w:r>
      <w:proofErr w:type="spellStart"/>
      <w:r w:rsidRPr="00717747">
        <w:rPr>
          <w:sz w:val="20"/>
          <w:szCs w:val="20"/>
          <w:lang w:val="uk-UA"/>
        </w:rPr>
        <w:t>Bank</w:t>
      </w:r>
      <w:proofErr w:type="spellEnd"/>
      <w:r w:rsidRPr="00717747">
        <w:rPr>
          <w:sz w:val="20"/>
          <w:szCs w:val="20"/>
          <w:lang w:val="uk-UA"/>
        </w:rPr>
        <w:t xml:space="preserve"> (Австрія), </w:t>
      </w:r>
      <w:proofErr w:type="spellStart"/>
      <w:r w:rsidRPr="00717747">
        <w:rPr>
          <w:sz w:val="20"/>
          <w:szCs w:val="20"/>
          <w:lang w:val="uk-UA"/>
        </w:rPr>
        <w:t>Home</w:t>
      </w:r>
      <w:proofErr w:type="spellEnd"/>
      <w:r w:rsidRPr="00717747">
        <w:rPr>
          <w:sz w:val="20"/>
          <w:szCs w:val="20"/>
          <w:lang w:val="uk-UA"/>
        </w:rPr>
        <w:t xml:space="preserve"> </w:t>
      </w:r>
      <w:proofErr w:type="spellStart"/>
      <w:r w:rsidRPr="00717747">
        <w:rPr>
          <w:sz w:val="20"/>
          <w:szCs w:val="20"/>
          <w:lang w:val="uk-UA"/>
        </w:rPr>
        <w:t>Credit</w:t>
      </w:r>
      <w:proofErr w:type="spellEnd"/>
      <w:r w:rsidRPr="00717747">
        <w:rPr>
          <w:sz w:val="20"/>
          <w:szCs w:val="20"/>
          <w:lang w:val="uk-UA"/>
        </w:rPr>
        <w:t xml:space="preserve"> </w:t>
      </w:r>
      <w:proofErr w:type="spellStart"/>
      <w:r w:rsidRPr="00717747">
        <w:rPr>
          <w:sz w:val="20"/>
          <w:szCs w:val="20"/>
          <w:lang w:val="uk-UA"/>
        </w:rPr>
        <w:t>Bank</w:t>
      </w:r>
      <w:proofErr w:type="spellEnd"/>
      <w:r w:rsidRPr="00717747">
        <w:rPr>
          <w:sz w:val="20"/>
          <w:szCs w:val="20"/>
          <w:lang w:val="uk-UA"/>
        </w:rPr>
        <w:t xml:space="preserve"> (Чехія), </w:t>
      </w:r>
      <w:proofErr w:type="spellStart"/>
      <w:r w:rsidRPr="00717747">
        <w:rPr>
          <w:sz w:val="20"/>
          <w:szCs w:val="20"/>
          <w:lang w:val="uk-UA"/>
        </w:rPr>
        <w:t>Dresdner</w:t>
      </w:r>
      <w:proofErr w:type="spellEnd"/>
      <w:r w:rsidRPr="00717747">
        <w:rPr>
          <w:sz w:val="20"/>
          <w:szCs w:val="20"/>
          <w:lang w:val="uk-UA"/>
        </w:rPr>
        <w:t xml:space="preserve"> </w:t>
      </w:r>
      <w:proofErr w:type="spellStart"/>
      <w:r w:rsidRPr="00717747">
        <w:rPr>
          <w:sz w:val="20"/>
          <w:szCs w:val="20"/>
          <w:lang w:val="uk-UA"/>
        </w:rPr>
        <w:t>Bank</w:t>
      </w:r>
      <w:proofErr w:type="spellEnd"/>
      <w:r w:rsidRPr="00717747">
        <w:rPr>
          <w:sz w:val="20"/>
          <w:szCs w:val="20"/>
          <w:lang w:val="uk-UA"/>
        </w:rPr>
        <w:t xml:space="preserve"> (Німе</w:t>
      </w:r>
      <w:r w:rsidR="006638E5">
        <w:rPr>
          <w:sz w:val="20"/>
          <w:szCs w:val="20"/>
          <w:lang w:val="uk-UA"/>
        </w:rPr>
        <w:t xml:space="preserve">ччина), </w:t>
      </w:r>
      <w:proofErr w:type="spellStart"/>
      <w:r w:rsidR="006638E5">
        <w:rPr>
          <w:sz w:val="20"/>
          <w:szCs w:val="20"/>
          <w:lang w:val="uk-UA"/>
        </w:rPr>
        <w:t>Pekao</w:t>
      </w:r>
      <w:proofErr w:type="spellEnd"/>
      <w:r w:rsidR="006638E5">
        <w:rPr>
          <w:sz w:val="20"/>
          <w:szCs w:val="20"/>
          <w:lang w:val="uk-UA"/>
        </w:rPr>
        <w:t xml:space="preserve"> (Польща) та інші </w:t>
      </w:r>
      <w:r w:rsidRPr="00717747">
        <w:rPr>
          <w:sz w:val="20"/>
          <w:szCs w:val="20"/>
          <w:lang w:val="uk-UA"/>
        </w:rPr>
        <w:t>.</w:t>
      </w:r>
    </w:p>
    <w:p w:rsidR="002517A4" w:rsidRDefault="002517A4" w:rsidP="002517A4">
      <w:pPr>
        <w:spacing w:after="0" w:line="240" w:lineRule="auto"/>
        <w:ind w:firstLine="709"/>
        <w:jc w:val="both"/>
        <w:rPr>
          <w:sz w:val="20"/>
          <w:szCs w:val="20"/>
          <w:lang w:val="uk-UA"/>
        </w:rPr>
      </w:pPr>
      <w:r w:rsidRPr="00717747">
        <w:rPr>
          <w:sz w:val="20"/>
          <w:szCs w:val="20"/>
          <w:lang w:val="uk-UA"/>
        </w:rPr>
        <w:t>Як вважають експерти, зокрема український економіст О.І. Соскін, вихід іноземного капіталу з банківської системи України призведе до її занепаду, оскільки саме завдяки європейським банкам, які відкрили в Україні свої дочірні банки, вітчизняній фінансовій системі вдалось протистоя</w:t>
      </w:r>
      <w:r w:rsidR="006638E5">
        <w:rPr>
          <w:sz w:val="20"/>
          <w:szCs w:val="20"/>
          <w:lang w:val="uk-UA"/>
        </w:rPr>
        <w:t>ти світовій кризі у 2008 році [3</w:t>
      </w:r>
      <w:r w:rsidRPr="00717747">
        <w:rPr>
          <w:sz w:val="20"/>
          <w:szCs w:val="20"/>
          <w:lang w:val="uk-UA"/>
        </w:rPr>
        <w:t>].</w:t>
      </w:r>
      <w:r w:rsidR="00A907D6">
        <w:rPr>
          <w:sz w:val="20"/>
          <w:szCs w:val="20"/>
          <w:lang w:val="uk-UA"/>
        </w:rPr>
        <w:t xml:space="preserve"> </w:t>
      </w:r>
      <w:r w:rsidRPr="00717747">
        <w:rPr>
          <w:sz w:val="20"/>
          <w:szCs w:val="20"/>
          <w:lang w:val="uk-UA"/>
        </w:rPr>
        <w:t>Проте, в результаті виведення своїх коштів з вітчизняної банківської системи, іноземні банки не призвели до її занепаду в період відновлення фінансової діяльності банківських установ після світової фінансової кризи.</w:t>
      </w:r>
    </w:p>
    <w:p w:rsidR="00F73D9C" w:rsidRPr="00F73D9C" w:rsidRDefault="00F73D9C" w:rsidP="002517A4">
      <w:pPr>
        <w:spacing w:after="0" w:line="240" w:lineRule="auto"/>
        <w:ind w:firstLine="709"/>
        <w:jc w:val="both"/>
        <w:rPr>
          <w:sz w:val="20"/>
          <w:szCs w:val="20"/>
          <w:lang w:val="uk-UA"/>
        </w:rPr>
      </w:pPr>
      <w:r w:rsidRPr="00F73D9C">
        <w:rPr>
          <w:sz w:val="20"/>
          <w:szCs w:val="20"/>
          <w:lang w:val="uk-UA"/>
        </w:rPr>
        <w:t xml:space="preserve">В Україні небагато випадків, коли банки застосовують процеси злиття і поглинань. Насамперед ініціаторами були банки зі 100-відсотковим іноземним капіталом: </w:t>
      </w:r>
      <w:proofErr w:type="spellStart"/>
      <w:r w:rsidRPr="00F73D9C">
        <w:rPr>
          <w:sz w:val="20"/>
          <w:szCs w:val="20"/>
          <w:lang w:val="uk-UA"/>
        </w:rPr>
        <w:t>Райффайзен</w:t>
      </w:r>
      <w:proofErr w:type="spellEnd"/>
      <w:r w:rsidRPr="00F73D9C">
        <w:rPr>
          <w:sz w:val="20"/>
          <w:szCs w:val="20"/>
          <w:lang w:val="uk-UA"/>
        </w:rPr>
        <w:t xml:space="preserve"> Інтернешнл, </w:t>
      </w:r>
      <w:proofErr w:type="spellStart"/>
      <w:r w:rsidRPr="00F73D9C">
        <w:rPr>
          <w:sz w:val="20"/>
          <w:szCs w:val="20"/>
          <w:lang w:val="uk-UA"/>
        </w:rPr>
        <w:t>Volksbank</w:t>
      </w:r>
      <w:proofErr w:type="spellEnd"/>
      <w:r w:rsidRPr="00F73D9C">
        <w:rPr>
          <w:sz w:val="20"/>
          <w:szCs w:val="20"/>
          <w:lang w:val="uk-UA"/>
        </w:rPr>
        <w:t xml:space="preserve"> </w:t>
      </w:r>
      <w:proofErr w:type="spellStart"/>
      <w:r w:rsidRPr="00F73D9C">
        <w:rPr>
          <w:sz w:val="20"/>
          <w:szCs w:val="20"/>
          <w:lang w:val="uk-UA"/>
        </w:rPr>
        <w:t>International</w:t>
      </w:r>
      <w:proofErr w:type="spellEnd"/>
      <w:r w:rsidRPr="00F73D9C">
        <w:rPr>
          <w:sz w:val="20"/>
          <w:szCs w:val="20"/>
          <w:lang w:val="uk-UA"/>
        </w:rPr>
        <w:t xml:space="preserve"> AG, </w:t>
      </w:r>
      <w:proofErr w:type="spellStart"/>
      <w:r w:rsidRPr="00F73D9C">
        <w:rPr>
          <w:sz w:val="20"/>
          <w:szCs w:val="20"/>
          <w:lang w:val="uk-UA"/>
        </w:rPr>
        <w:t>Svedbank</w:t>
      </w:r>
      <w:proofErr w:type="spellEnd"/>
      <w:r w:rsidRPr="00F73D9C">
        <w:rPr>
          <w:sz w:val="20"/>
          <w:szCs w:val="20"/>
          <w:lang w:val="uk-UA"/>
        </w:rPr>
        <w:t xml:space="preserve">, </w:t>
      </w:r>
      <w:proofErr w:type="spellStart"/>
      <w:r w:rsidRPr="00F73D9C">
        <w:rPr>
          <w:sz w:val="20"/>
          <w:szCs w:val="20"/>
          <w:lang w:val="uk-UA"/>
        </w:rPr>
        <w:t>Erste</w:t>
      </w:r>
      <w:proofErr w:type="spellEnd"/>
      <w:r w:rsidRPr="00F73D9C">
        <w:rPr>
          <w:sz w:val="20"/>
          <w:szCs w:val="20"/>
          <w:lang w:val="uk-UA"/>
        </w:rPr>
        <w:t xml:space="preserve"> </w:t>
      </w:r>
      <w:proofErr w:type="spellStart"/>
      <w:r w:rsidRPr="00F73D9C">
        <w:rPr>
          <w:sz w:val="20"/>
          <w:szCs w:val="20"/>
          <w:lang w:val="uk-UA"/>
        </w:rPr>
        <w:t>Bank</w:t>
      </w:r>
      <w:proofErr w:type="spellEnd"/>
      <w:r w:rsidRPr="00F73D9C">
        <w:rPr>
          <w:sz w:val="20"/>
          <w:szCs w:val="20"/>
          <w:lang w:val="uk-UA"/>
        </w:rPr>
        <w:t>. Вітчизняні банки отримували доступ до більшої матеріальної бази, міжнародного досвіду управління, використання моделі оптимізованих гнучких процесів. Іноземні банки, своєю чергою, прагнуть розширити географічні межі власного впливу та мати можливість функціонувати на банківському ринку з вищими ставками порівняно з їх вітчизняними . Зважаючи на політико-економічну кризу в Україні інтерес іноземних інвесторів до вітчизняної банківської системи зменшився, саме через це збільшення кількості процесів злиття та поглинання з іноземними банками у найближчий час очікувати не варто</w:t>
      </w:r>
      <w:r>
        <w:rPr>
          <w:sz w:val="20"/>
          <w:szCs w:val="20"/>
          <w:lang w:val="uk-UA"/>
        </w:rPr>
        <w:t>.</w:t>
      </w:r>
    </w:p>
    <w:p w:rsidR="00B54CA3" w:rsidRDefault="00CB28DB" w:rsidP="00B54CA3">
      <w:pPr>
        <w:spacing w:after="0" w:line="240" w:lineRule="auto"/>
        <w:ind w:firstLine="709"/>
        <w:jc w:val="both"/>
        <w:rPr>
          <w:sz w:val="20"/>
          <w:szCs w:val="20"/>
          <w:lang w:val="uk-UA"/>
        </w:rPr>
      </w:pPr>
      <w:r w:rsidRPr="00A40D81">
        <w:rPr>
          <w:b/>
          <w:sz w:val="20"/>
          <w:szCs w:val="20"/>
          <w:lang w:val="uk-UA"/>
        </w:rPr>
        <w:t>Висновки.</w:t>
      </w:r>
      <w:r>
        <w:rPr>
          <w:b/>
          <w:sz w:val="20"/>
          <w:szCs w:val="20"/>
          <w:lang w:val="uk-UA"/>
        </w:rPr>
        <w:t xml:space="preserve"> </w:t>
      </w:r>
      <w:r w:rsidRPr="00CB28DB">
        <w:rPr>
          <w:sz w:val="20"/>
          <w:szCs w:val="20"/>
          <w:lang w:val="uk-UA"/>
        </w:rPr>
        <w:t>Таким чином, можна</w:t>
      </w:r>
      <w:r w:rsidR="00B54CA3" w:rsidRPr="00B54CA3">
        <w:rPr>
          <w:sz w:val="20"/>
          <w:szCs w:val="20"/>
          <w:lang w:val="uk-UA"/>
        </w:rPr>
        <w:t xml:space="preserve"> виділити фактори, що перешкоджають ефективному розвитку ринку банківських злиттів і поглинань.</w:t>
      </w:r>
      <w:r>
        <w:rPr>
          <w:sz w:val="20"/>
          <w:szCs w:val="20"/>
          <w:lang w:val="uk-UA"/>
        </w:rPr>
        <w:t xml:space="preserve"> </w:t>
      </w:r>
      <w:r w:rsidR="00B54CA3" w:rsidRPr="00B54CA3">
        <w:rPr>
          <w:sz w:val="20"/>
          <w:szCs w:val="20"/>
          <w:lang w:val="uk-UA"/>
        </w:rPr>
        <w:t>В першу чергу це низький рівень диверсифікації економіки і недостатність внутрішньої інтегрованості, що обумовлює негативні явища на банківському ринку злиттів і поглинань.</w:t>
      </w:r>
      <w:r>
        <w:rPr>
          <w:sz w:val="20"/>
          <w:szCs w:val="20"/>
          <w:lang w:val="uk-UA"/>
        </w:rPr>
        <w:t xml:space="preserve"> </w:t>
      </w:r>
      <w:r w:rsidR="00B54CA3" w:rsidRPr="00B54CA3">
        <w:rPr>
          <w:sz w:val="20"/>
          <w:szCs w:val="20"/>
          <w:lang w:val="uk-UA"/>
        </w:rPr>
        <w:t>У банківській сфері відчувається недостатність правового регулювання. Що в свою чергу вимагає теоретичного осмислення і розробки ефективних</w:t>
      </w:r>
      <w:r w:rsidR="00B54CA3">
        <w:rPr>
          <w:sz w:val="20"/>
          <w:szCs w:val="20"/>
          <w:lang w:val="uk-UA"/>
        </w:rPr>
        <w:t xml:space="preserve"> </w:t>
      </w:r>
      <w:r w:rsidR="00B54CA3" w:rsidRPr="00B54CA3">
        <w:rPr>
          <w:sz w:val="20"/>
          <w:szCs w:val="20"/>
          <w:lang w:val="uk-UA"/>
        </w:rPr>
        <w:t>нормативних актів.</w:t>
      </w:r>
      <w:r>
        <w:rPr>
          <w:sz w:val="20"/>
          <w:szCs w:val="20"/>
          <w:lang w:val="uk-UA"/>
        </w:rPr>
        <w:t xml:space="preserve"> </w:t>
      </w:r>
      <w:r w:rsidR="00B54CA3" w:rsidRPr="00B54CA3">
        <w:rPr>
          <w:sz w:val="20"/>
          <w:szCs w:val="20"/>
          <w:lang w:val="uk-UA"/>
        </w:rPr>
        <w:t>В даний час в країні відсутня єдина державна політика в області фінансових ринків, в тому числі і ринку злиттів і поглинань кредитних організацій</w:t>
      </w:r>
      <w:r w:rsidR="00B54CA3">
        <w:rPr>
          <w:sz w:val="20"/>
          <w:szCs w:val="20"/>
          <w:lang w:val="uk-UA"/>
        </w:rPr>
        <w:t>.</w:t>
      </w:r>
      <w:r>
        <w:rPr>
          <w:sz w:val="20"/>
          <w:szCs w:val="20"/>
          <w:lang w:val="uk-UA"/>
        </w:rPr>
        <w:t xml:space="preserve"> </w:t>
      </w:r>
      <w:r w:rsidR="00B54CA3" w:rsidRPr="00B54CA3">
        <w:rPr>
          <w:sz w:val="20"/>
          <w:szCs w:val="20"/>
          <w:lang w:val="uk-UA"/>
        </w:rPr>
        <w:t xml:space="preserve">Для </w:t>
      </w:r>
      <w:r w:rsidR="00B54CA3">
        <w:rPr>
          <w:sz w:val="20"/>
          <w:szCs w:val="20"/>
          <w:lang w:val="uk-UA"/>
        </w:rPr>
        <w:t>українського</w:t>
      </w:r>
      <w:r w:rsidR="00B54CA3" w:rsidRPr="00B54CA3">
        <w:rPr>
          <w:sz w:val="20"/>
          <w:szCs w:val="20"/>
          <w:lang w:val="uk-UA"/>
        </w:rPr>
        <w:t xml:space="preserve"> бізнесу в цілому і для банківського сектора зокрема характерний низький рівень прозорості та ділової етики бізнесу.</w:t>
      </w:r>
      <w:r>
        <w:rPr>
          <w:sz w:val="20"/>
          <w:szCs w:val="20"/>
          <w:lang w:val="uk-UA"/>
        </w:rPr>
        <w:t xml:space="preserve"> </w:t>
      </w:r>
      <w:r w:rsidR="00B54CA3" w:rsidRPr="00B54CA3">
        <w:rPr>
          <w:sz w:val="20"/>
          <w:szCs w:val="20"/>
          <w:lang w:val="uk-UA"/>
        </w:rPr>
        <w:t>Засобом, яке дозволить упорядкувати угоди по злиттю і поглинанню, може виступати визначення заходів державного регулювання ринку злиттів і поглинань банків, що, в свою чергу, сприятиме підвищенню ролі банків як складових елементів економічної політики.</w:t>
      </w:r>
    </w:p>
    <w:p w:rsidR="009317E5" w:rsidRPr="009317E5" w:rsidRDefault="009317E5" w:rsidP="009317E5">
      <w:pPr>
        <w:spacing w:after="0" w:line="240" w:lineRule="auto"/>
        <w:ind w:firstLine="709"/>
        <w:jc w:val="both"/>
        <w:rPr>
          <w:sz w:val="20"/>
          <w:szCs w:val="20"/>
          <w:lang w:val="uk-UA"/>
        </w:rPr>
      </w:pPr>
      <w:r w:rsidRPr="009317E5">
        <w:rPr>
          <w:sz w:val="20"/>
          <w:szCs w:val="20"/>
          <w:lang w:val="uk-UA"/>
        </w:rPr>
        <w:t>Процеси банківських злиттів і поглинань мають ряд наслідків. Серед позитивних наслідків варто виділити:</w:t>
      </w:r>
    </w:p>
    <w:p w:rsidR="009317E5" w:rsidRPr="009317E5" w:rsidRDefault="009317E5" w:rsidP="009317E5">
      <w:pPr>
        <w:spacing w:after="0" w:line="240" w:lineRule="auto"/>
        <w:ind w:firstLine="709"/>
        <w:jc w:val="both"/>
        <w:rPr>
          <w:sz w:val="20"/>
          <w:szCs w:val="20"/>
          <w:lang w:val="uk-UA"/>
        </w:rPr>
      </w:pPr>
      <w:r w:rsidRPr="009317E5">
        <w:rPr>
          <w:sz w:val="20"/>
          <w:szCs w:val="20"/>
          <w:lang w:val="uk-UA"/>
        </w:rPr>
        <w:t xml:space="preserve">• </w:t>
      </w:r>
      <w:r>
        <w:rPr>
          <w:sz w:val="20"/>
          <w:szCs w:val="20"/>
          <w:lang w:val="uk-UA"/>
        </w:rPr>
        <w:t>утв</w:t>
      </w:r>
      <w:r w:rsidR="00A907D6">
        <w:rPr>
          <w:sz w:val="20"/>
          <w:szCs w:val="20"/>
          <w:lang w:val="uk-UA"/>
        </w:rPr>
        <w:t>о</w:t>
      </w:r>
      <w:r>
        <w:rPr>
          <w:sz w:val="20"/>
          <w:szCs w:val="20"/>
          <w:lang w:val="uk-UA"/>
        </w:rPr>
        <w:t>рення</w:t>
      </w:r>
      <w:r w:rsidRPr="009317E5">
        <w:rPr>
          <w:sz w:val="20"/>
          <w:szCs w:val="20"/>
          <w:lang w:val="uk-UA"/>
        </w:rPr>
        <w:t xml:space="preserve"> </w:t>
      </w:r>
      <w:proofErr w:type="spellStart"/>
      <w:r w:rsidRPr="009317E5">
        <w:rPr>
          <w:sz w:val="20"/>
          <w:szCs w:val="20"/>
          <w:lang w:val="uk-UA"/>
        </w:rPr>
        <w:t>широкопрофільних</w:t>
      </w:r>
      <w:proofErr w:type="spellEnd"/>
      <w:r w:rsidRPr="009317E5">
        <w:rPr>
          <w:sz w:val="20"/>
          <w:szCs w:val="20"/>
          <w:lang w:val="uk-UA"/>
        </w:rPr>
        <w:t xml:space="preserve"> банківських та інвестиційних груп;</w:t>
      </w:r>
    </w:p>
    <w:p w:rsidR="009317E5" w:rsidRPr="009317E5" w:rsidRDefault="009317E5" w:rsidP="009317E5">
      <w:pPr>
        <w:spacing w:after="0" w:line="240" w:lineRule="auto"/>
        <w:ind w:firstLine="709"/>
        <w:jc w:val="both"/>
        <w:rPr>
          <w:sz w:val="20"/>
          <w:szCs w:val="20"/>
          <w:lang w:val="uk-UA"/>
        </w:rPr>
      </w:pPr>
      <w:r w:rsidRPr="009317E5">
        <w:rPr>
          <w:sz w:val="20"/>
          <w:szCs w:val="20"/>
          <w:lang w:val="uk-UA"/>
        </w:rPr>
        <w:t>• диверсифікація банківських продуктів для роздрібного, корпоративного та інвестиційного обслуговування;</w:t>
      </w:r>
    </w:p>
    <w:p w:rsidR="009317E5" w:rsidRPr="009317E5" w:rsidRDefault="009317E5" w:rsidP="009317E5">
      <w:pPr>
        <w:spacing w:after="0" w:line="240" w:lineRule="auto"/>
        <w:ind w:firstLine="709"/>
        <w:jc w:val="both"/>
        <w:rPr>
          <w:sz w:val="20"/>
          <w:szCs w:val="20"/>
          <w:lang w:val="uk-UA"/>
        </w:rPr>
      </w:pPr>
      <w:r w:rsidRPr="009317E5">
        <w:rPr>
          <w:sz w:val="20"/>
          <w:szCs w:val="20"/>
          <w:lang w:val="uk-UA"/>
        </w:rPr>
        <w:t>• іноземний банківський капітал виступає стимулюючим фактором для об'єднання.</w:t>
      </w:r>
    </w:p>
    <w:p w:rsidR="009317E5" w:rsidRPr="009317E5" w:rsidRDefault="009317E5" w:rsidP="009317E5">
      <w:pPr>
        <w:spacing w:after="0" w:line="240" w:lineRule="auto"/>
        <w:ind w:firstLine="709"/>
        <w:jc w:val="both"/>
        <w:rPr>
          <w:sz w:val="20"/>
          <w:szCs w:val="20"/>
          <w:lang w:val="uk-UA"/>
        </w:rPr>
      </w:pPr>
      <w:r w:rsidRPr="009317E5">
        <w:rPr>
          <w:sz w:val="20"/>
          <w:szCs w:val="20"/>
          <w:lang w:val="uk-UA"/>
        </w:rPr>
        <w:t>Процес банківських злиттів і поглинань має і негативні наслідки:</w:t>
      </w:r>
    </w:p>
    <w:p w:rsidR="009317E5" w:rsidRPr="009317E5" w:rsidRDefault="009317E5" w:rsidP="009317E5">
      <w:pPr>
        <w:spacing w:after="0" w:line="240" w:lineRule="auto"/>
        <w:ind w:firstLine="709"/>
        <w:jc w:val="both"/>
        <w:rPr>
          <w:sz w:val="20"/>
          <w:szCs w:val="20"/>
          <w:lang w:val="uk-UA"/>
        </w:rPr>
      </w:pPr>
      <w:r w:rsidRPr="009317E5">
        <w:rPr>
          <w:sz w:val="20"/>
          <w:szCs w:val="20"/>
          <w:lang w:val="uk-UA"/>
        </w:rPr>
        <w:t>• можливе використання</w:t>
      </w:r>
      <w:r>
        <w:rPr>
          <w:sz w:val="20"/>
          <w:szCs w:val="20"/>
          <w:lang w:val="uk-UA"/>
        </w:rPr>
        <w:t xml:space="preserve"> </w:t>
      </w:r>
      <w:r w:rsidRPr="009317E5">
        <w:rPr>
          <w:sz w:val="20"/>
          <w:szCs w:val="20"/>
          <w:lang w:val="uk-UA"/>
        </w:rPr>
        <w:t>адміністративного ресурсу для здійснення рейдерських операцій;</w:t>
      </w:r>
    </w:p>
    <w:p w:rsidR="009317E5" w:rsidRPr="009317E5" w:rsidRDefault="009317E5" w:rsidP="009317E5">
      <w:pPr>
        <w:spacing w:after="0" w:line="240" w:lineRule="auto"/>
        <w:ind w:firstLine="709"/>
        <w:jc w:val="both"/>
        <w:rPr>
          <w:sz w:val="20"/>
          <w:szCs w:val="20"/>
          <w:lang w:val="uk-UA"/>
        </w:rPr>
      </w:pPr>
      <w:r w:rsidRPr="009317E5">
        <w:rPr>
          <w:sz w:val="20"/>
          <w:szCs w:val="20"/>
          <w:lang w:val="uk-UA"/>
        </w:rPr>
        <w:t xml:space="preserve">• зростає роль іноземних банків як самостійних гравців на </w:t>
      </w:r>
      <w:r>
        <w:rPr>
          <w:sz w:val="20"/>
          <w:szCs w:val="20"/>
          <w:lang w:val="uk-UA"/>
        </w:rPr>
        <w:t xml:space="preserve">українському </w:t>
      </w:r>
      <w:r w:rsidRPr="009317E5">
        <w:rPr>
          <w:sz w:val="20"/>
          <w:szCs w:val="20"/>
          <w:lang w:val="uk-UA"/>
        </w:rPr>
        <w:t xml:space="preserve"> ринку, а також спостерігається збільшення частки їх участі в статутному капіталі </w:t>
      </w:r>
      <w:r>
        <w:rPr>
          <w:sz w:val="20"/>
          <w:szCs w:val="20"/>
          <w:lang w:val="uk-UA"/>
        </w:rPr>
        <w:t>українських</w:t>
      </w:r>
      <w:r w:rsidRPr="009317E5">
        <w:rPr>
          <w:sz w:val="20"/>
          <w:szCs w:val="20"/>
          <w:lang w:val="uk-UA"/>
        </w:rPr>
        <w:t xml:space="preserve"> банків.</w:t>
      </w:r>
    </w:p>
    <w:p w:rsidR="00D90F2F" w:rsidRDefault="00D90F2F" w:rsidP="00A907D6">
      <w:pPr>
        <w:spacing w:after="0" w:line="240" w:lineRule="auto"/>
        <w:ind w:firstLine="709"/>
        <w:jc w:val="both"/>
        <w:rPr>
          <w:sz w:val="20"/>
          <w:szCs w:val="20"/>
          <w:lang w:val="uk-UA"/>
        </w:rPr>
      </w:pPr>
      <w:r w:rsidRPr="00D90F2F">
        <w:rPr>
          <w:sz w:val="20"/>
          <w:szCs w:val="20"/>
          <w:lang w:val="uk-UA"/>
        </w:rPr>
        <w:t xml:space="preserve">Аналіз зарубіжного досвіду </w:t>
      </w:r>
      <w:r>
        <w:rPr>
          <w:sz w:val="20"/>
          <w:szCs w:val="20"/>
          <w:lang w:val="uk-UA"/>
        </w:rPr>
        <w:t>консолідації банківського сектору</w:t>
      </w:r>
      <w:r w:rsidRPr="00D90F2F">
        <w:rPr>
          <w:sz w:val="20"/>
          <w:szCs w:val="20"/>
          <w:lang w:val="uk-UA"/>
        </w:rPr>
        <w:t xml:space="preserve"> підтверджує, що в Україні можна застосовувати всі інструменти реструктуризації, які використовують в зарубіжних країнах, зокрема, вливання урядового капіталу у формі капіталізації банків </w:t>
      </w:r>
      <w:r w:rsidR="00E34F22">
        <w:rPr>
          <w:sz w:val="20"/>
          <w:szCs w:val="20"/>
          <w:lang w:val="uk-UA"/>
        </w:rPr>
        <w:t>у</w:t>
      </w:r>
      <w:r w:rsidRPr="00D90F2F">
        <w:rPr>
          <w:sz w:val="20"/>
          <w:szCs w:val="20"/>
          <w:lang w:val="uk-UA"/>
        </w:rPr>
        <w:t>рядом та придбання українських банків іноземними.</w:t>
      </w:r>
      <w:r w:rsidR="00284FF2">
        <w:rPr>
          <w:sz w:val="20"/>
          <w:szCs w:val="20"/>
          <w:lang w:val="uk-UA"/>
        </w:rPr>
        <w:t xml:space="preserve"> </w:t>
      </w:r>
    </w:p>
    <w:p w:rsidR="00A907D6" w:rsidRDefault="009317E5" w:rsidP="00A907D6">
      <w:pPr>
        <w:spacing w:after="0" w:line="240" w:lineRule="auto"/>
        <w:ind w:firstLine="709"/>
        <w:jc w:val="both"/>
        <w:rPr>
          <w:b/>
          <w:sz w:val="20"/>
          <w:szCs w:val="20"/>
          <w:lang w:val="uk-UA"/>
        </w:rPr>
      </w:pPr>
      <w:r w:rsidRPr="009317E5">
        <w:rPr>
          <w:sz w:val="20"/>
          <w:szCs w:val="20"/>
          <w:lang w:val="uk-UA"/>
        </w:rPr>
        <w:t xml:space="preserve">Рішення проблем в області злиттів і поглинань банків буде сприяти підвищенню стійкості </w:t>
      </w:r>
      <w:r w:rsidR="00A907D6">
        <w:rPr>
          <w:sz w:val="20"/>
          <w:szCs w:val="20"/>
          <w:lang w:val="uk-UA"/>
        </w:rPr>
        <w:t xml:space="preserve">української </w:t>
      </w:r>
      <w:r w:rsidRPr="009317E5">
        <w:rPr>
          <w:sz w:val="20"/>
          <w:szCs w:val="20"/>
          <w:lang w:val="uk-UA"/>
        </w:rPr>
        <w:t>банківської системи, її стабільності і</w:t>
      </w:r>
      <w:r>
        <w:rPr>
          <w:sz w:val="20"/>
          <w:szCs w:val="20"/>
          <w:lang w:val="uk-UA"/>
        </w:rPr>
        <w:t xml:space="preserve"> </w:t>
      </w:r>
      <w:r w:rsidRPr="009317E5">
        <w:rPr>
          <w:sz w:val="20"/>
          <w:szCs w:val="20"/>
          <w:lang w:val="uk-UA"/>
        </w:rPr>
        <w:t xml:space="preserve">конкурентоспроможності. Від ситуації </w:t>
      </w:r>
      <w:r w:rsidR="00284FF2">
        <w:rPr>
          <w:sz w:val="20"/>
          <w:szCs w:val="20"/>
          <w:lang w:val="uk-UA"/>
        </w:rPr>
        <w:t xml:space="preserve">в </w:t>
      </w:r>
      <w:r w:rsidRPr="009317E5">
        <w:rPr>
          <w:sz w:val="20"/>
          <w:szCs w:val="20"/>
          <w:lang w:val="uk-UA"/>
        </w:rPr>
        <w:t>банківськ</w:t>
      </w:r>
      <w:r w:rsidR="00284FF2">
        <w:rPr>
          <w:sz w:val="20"/>
          <w:szCs w:val="20"/>
          <w:lang w:val="uk-UA"/>
        </w:rPr>
        <w:t>ій</w:t>
      </w:r>
      <w:r>
        <w:rPr>
          <w:sz w:val="20"/>
          <w:szCs w:val="20"/>
          <w:lang w:val="uk-UA"/>
        </w:rPr>
        <w:t xml:space="preserve"> </w:t>
      </w:r>
      <w:r w:rsidR="00284FF2">
        <w:rPr>
          <w:sz w:val="20"/>
          <w:szCs w:val="20"/>
          <w:lang w:val="uk-UA"/>
        </w:rPr>
        <w:t>сфері</w:t>
      </w:r>
      <w:r w:rsidRPr="009317E5">
        <w:rPr>
          <w:sz w:val="20"/>
          <w:szCs w:val="20"/>
          <w:lang w:val="uk-UA"/>
        </w:rPr>
        <w:t xml:space="preserve"> залежить розвиток економіки країни в</w:t>
      </w:r>
      <w:r>
        <w:rPr>
          <w:sz w:val="20"/>
          <w:szCs w:val="20"/>
          <w:lang w:val="uk-UA"/>
        </w:rPr>
        <w:t xml:space="preserve"> </w:t>
      </w:r>
      <w:r w:rsidRPr="009317E5">
        <w:rPr>
          <w:sz w:val="20"/>
          <w:szCs w:val="20"/>
          <w:lang w:val="uk-UA"/>
        </w:rPr>
        <w:t>цілому, що особливо актуально в сучасних</w:t>
      </w:r>
      <w:r>
        <w:rPr>
          <w:sz w:val="20"/>
          <w:szCs w:val="20"/>
          <w:lang w:val="uk-UA"/>
        </w:rPr>
        <w:t xml:space="preserve"> </w:t>
      </w:r>
      <w:r w:rsidRPr="009317E5">
        <w:rPr>
          <w:sz w:val="20"/>
          <w:szCs w:val="20"/>
          <w:lang w:val="uk-UA"/>
        </w:rPr>
        <w:t>умовах.</w:t>
      </w:r>
      <w:r w:rsidR="00A907D6" w:rsidRPr="00A907D6">
        <w:rPr>
          <w:b/>
          <w:sz w:val="20"/>
          <w:szCs w:val="20"/>
          <w:lang w:val="uk-UA"/>
        </w:rPr>
        <w:t xml:space="preserve"> </w:t>
      </w:r>
    </w:p>
    <w:p w:rsidR="00A907D6" w:rsidRDefault="00A907D6" w:rsidP="00A907D6">
      <w:pPr>
        <w:spacing w:after="0" w:line="240" w:lineRule="auto"/>
        <w:ind w:firstLine="709"/>
        <w:jc w:val="both"/>
        <w:rPr>
          <w:b/>
          <w:sz w:val="20"/>
          <w:szCs w:val="20"/>
          <w:lang w:val="uk-UA"/>
        </w:rPr>
      </w:pPr>
    </w:p>
    <w:p w:rsidR="00A907D6" w:rsidRPr="0082109D" w:rsidRDefault="00A907D6" w:rsidP="0082109D">
      <w:pPr>
        <w:spacing w:after="0" w:line="240" w:lineRule="auto"/>
        <w:ind w:firstLine="709"/>
        <w:jc w:val="center"/>
        <w:rPr>
          <w:b/>
          <w:i/>
          <w:sz w:val="20"/>
          <w:szCs w:val="20"/>
          <w:lang w:val="uk-UA"/>
        </w:rPr>
      </w:pPr>
      <w:r w:rsidRPr="0082109D">
        <w:rPr>
          <w:b/>
          <w:i/>
          <w:sz w:val="20"/>
          <w:szCs w:val="20"/>
          <w:lang w:val="uk-UA"/>
        </w:rPr>
        <w:t>Література</w:t>
      </w:r>
    </w:p>
    <w:p w:rsidR="009317E5" w:rsidRPr="00351A92" w:rsidRDefault="00BE41B6" w:rsidP="00351A92">
      <w:pPr>
        <w:pStyle w:val="a6"/>
        <w:numPr>
          <w:ilvl w:val="0"/>
          <w:numId w:val="2"/>
        </w:numPr>
        <w:spacing w:after="0" w:line="240" w:lineRule="auto"/>
        <w:ind w:left="0" w:firstLine="709"/>
        <w:jc w:val="both"/>
        <w:rPr>
          <w:rFonts w:ascii="TimesNewRomanPSMT" w:hAnsi="TimesNewRomanPSMT" w:cs="TimesNewRomanPSMT"/>
          <w:sz w:val="20"/>
          <w:szCs w:val="20"/>
          <w:lang w:val="uk-UA"/>
        </w:rPr>
      </w:pPr>
      <w:r w:rsidRPr="00A7203D">
        <w:rPr>
          <w:rFonts w:ascii="TimesNewRomanPSMT" w:hAnsi="TimesNewRomanPSMT" w:cs="TimesNewRomanPSMT"/>
          <w:sz w:val="20"/>
          <w:szCs w:val="20"/>
          <w:lang w:val="uk-UA"/>
        </w:rPr>
        <w:t xml:space="preserve">База угод </w:t>
      </w:r>
      <w:r w:rsidRPr="00351A92">
        <w:rPr>
          <w:rFonts w:ascii="TimesNewRomanPSMT" w:hAnsi="TimesNewRomanPSMT" w:cs="TimesNewRomanPSMT"/>
          <w:sz w:val="20"/>
          <w:szCs w:val="20"/>
        </w:rPr>
        <w:t>M</w:t>
      </w:r>
      <w:r w:rsidRPr="00A7203D">
        <w:rPr>
          <w:rFonts w:ascii="TimesNewRomanPSMT" w:hAnsi="TimesNewRomanPSMT" w:cs="TimesNewRomanPSMT"/>
          <w:sz w:val="20"/>
          <w:szCs w:val="20"/>
          <w:lang w:val="uk-UA"/>
        </w:rPr>
        <w:t>&amp;</w:t>
      </w:r>
      <w:r w:rsidRPr="00351A92">
        <w:rPr>
          <w:rFonts w:ascii="TimesNewRomanPSMT" w:hAnsi="TimesNewRomanPSMT" w:cs="TimesNewRomanPSMT"/>
          <w:sz w:val="20"/>
          <w:szCs w:val="20"/>
        </w:rPr>
        <w:t>A</w:t>
      </w:r>
      <w:r w:rsidRPr="00A7203D">
        <w:rPr>
          <w:rFonts w:ascii="TimesNewRomanPSMT" w:hAnsi="TimesNewRomanPSMT" w:cs="TimesNewRomanPSMT"/>
          <w:sz w:val="20"/>
          <w:szCs w:val="20"/>
          <w:lang w:val="uk-UA"/>
        </w:rPr>
        <w:t xml:space="preserve"> в Україні – 2015 [Електронний ресурс]. – Режим доступу: </w:t>
      </w:r>
      <w:proofErr w:type="spellStart"/>
      <w:r w:rsidR="00A7203D" w:rsidRPr="00A7203D">
        <w:rPr>
          <w:rFonts w:ascii="TimesNewRomanPSMT" w:hAnsi="TimesNewRomanPSMT" w:cs="TimesNewRomanPSMT"/>
          <w:sz w:val="20"/>
          <w:szCs w:val="20"/>
        </w:rPr>
        <w:t>http</w:t>
      </w:r>
      <w:proofErr w:type="spellEnd"/>
      <w:r w:rsidR="00A7203D" w:rsidRPr="00A7203D">
        <w:rPr>
          <w:rFonts w:ascii="TimesNewRomanPSMT" w:hAnsi="TimesNewRomanPSMT" w:cs="TimesNewRomanPSMT"/>
          <w:sz w:val="20"/>
          <w:szCs w:val="20"/>
          <w:lang w:val="uk-UA"/>
        </w:rPr>
        <w:t>://</w:t>
      </w:r>
      <w:proofErr w:type="spellStart"/>
      <w:r w:rsidR="00A7203D" w:rsidRPr="00A7203D">
        <w:rPr>
          <w:sz w:val="20"/>
          <w:szCs w:val="20"/>
          <w:lang w:val="uk-UA"/>
        </w:rPr>
        <w:t>mergers.com.ua</w:t>
      </w:r>
      <w:proofErr w:type="spellEnd"/>
      <w:r w:rsidR="00A7203D" w:rsidRPr="00A7203D">
        <w:rPr>
          <w:sz w:val="20"/>
          <w:szCs w:val="20"/>
          <w:lang w:val="uk-UA"/>
        </w:rPr>
        <w:t>/</w:t>
      </w:r>
      <w:r w:rsidR="00A7203D">
        <w:rPr>
          <w:sz w:val="20"/>
          <w:szCs w:val="20"/>
          <w:lang w:val="uk-UA"/>
        </w:rPr>
        <w:t xml:space="preserve"> </w:t>
      </w:r>
      <w:proofErr w:type="spellStart"/>
      <w:r w:rsidRPr="00351A92">
        <w:rPr>
          <w:sz w:val="20"/>
          <w:szCs w:val="20"/>
          <w:lang w:val="uk-UA"/>
        </w:rPr>
        <w:t>ua</w:t>
      </w:r>
      <w:proofErr w:type="spellEnd"/>
      <w:r w:rsidRPr="00351A92">
        <w:rPr>
          <w:sz w:val="20"/>
          <w:szCs w:val="20"/>
          <w:lang w:val="uk-UA"/>
        </w:rPr>
        <w:t>/m-and-a-analysis/deals-</w:t>
      </w:r>
      <w:proofErr w:type="spellStart"/>
      <w:r w:rsidRPr="00351A92">
        <w:rPr>
          <w:sz w:val="20"/>
          <w:szCs w:val="20"/>
          <w:lang w:val="uk-UA"/>
        </w:rPr>
        <w:t>database</w:t>
      </w:r>
      <w:proofErr w:type="spellEnd"/>
      <w:r w:rsidRPr="00A7203D">
        <w:rPr>
          <w:rFonts w:ascii="TimesNewRomanPSMT" w:hAnsi="TimesNewRomanPSMT" w:cs="TimesNewRomanPSMT"/>
          <w:sz w:val="20"/>
          <w:szCs w:val="20"/>
          <w:lang w:val="uk-UA"/>
        </w:rPr>
        <w:t xml:space="preserve"> -</w:t>
      </w:r>
      <w:proofErr w:type="spellStart"/>
      <w:r w:rsidRPr="00351A92">
        <w:rPr>
          <w:rFonts w:ascii="TimesNewRomanPSMT" w:hAnsi="TimesNewRomanPSMT" w:cs="TimesNewRomanPSMT"/>
          <w:sz w:val="20"/>
          <w:szCs w:val="20"/>
          <w:lang w:val="en-US"/>
        </w:rPr>
        <w:t>ukraine</w:t>
      </w:r>
      <w:proofErr w:type="spellEnd"/>
      <w:r w:rsidRPr="00A7203D">
        <w:rPr>
          <w:rFonts w:ascii="TimesNewRomanPSMT" w:hAnsi="TimesNewRomanPSMT" w:cs="TimesNewRomanPSMT"/>
          <w:sz w:val="20"/>
          <w:szCs w:val="20"/>
          <w:lang w:val="uk-UA"/>
        </w:rPr>
        <w:t>-201</w:t>
      </w:r>
      <w:r w:rsidRPr="00351A92">
        <w:rPr>
          <w:rFonts w:ascii="TimesNewRomanPSMT" w:hAnsi="TimesNewRomanPSMT" w:cs="TimesNewRomanPSMT"/>
          <w:sz w:val="20"/>
          <w:szCs w:val="20"/>
          <w:lang w:val="uk-UA"/>
        </w:rPr>
        <w:t>7</w:t>
      </w:r>
      <w:r w:rsidRPr="00A7203D">
        <w:rPr>
          <w:rFonts w:ascii="TimesNewRomanPSMT" w:hAnsi="TimesNewRomanPSMT" w:cs="TimesNewRomanPSMT"/>
          <w:sz w:val="20"/>
          <w:szCs w:val="20"/>
          <w:lang w:val="uk-UA"/>
        </w:rPr>
        <w:t>.</w:t>
      </w:r>
    </w:p>
    <w:p w:rsidR="00346C9A" w:rsidRPr="00351A92" w:rsidRDefault="00346C9A" w:rsidP="00351A92">
      <w:pPr>
        <w:pStyle w:val="a6"/>
        <w:numPr>
          <w:ilvl w:val="0"/>
          <w:numId w:val="2"/>
        </w:numPr>
        <w:spacing w:after="0" w:line="240" w:lineRule="auto"/>
        <w:ind w:left="0" w:firstLine="709"/>
        <w:jc w:val="both"/>
        <w:rPr>
          <w:sz w:val="20"/>
          <w:szCs w:val="20"/>
          <w:lang w:val="uk-UA"/>
        </w:rPr>
      </w:pPr>
      <w:r w:rsidRPr="00351A92">
        <w:rPr>
          <w:sz w:val="20"/>
          <w:szCs w:val="20"/>
          <w:lang w:val="uk-UA"/>
        </w:rPr>
        <w:t>Набок І.І., Вишнякова О.В. Злиття і поглинання в банківській сфері: сучасні тенденції європейського і вітчизняного ринків//Стратегія розвитку України. 2017 - №1 – с. 116-120.</w:t>
      </w:r>
    </w:p>
    <w:p w:rsidR="00351A92" w:rsidRPr="00351A92" w:rsidRDefault="00351A92" w:rsidP="00351A92">
      <w:pPr>
        <w:pStyle w:val="a6"/>
        <w:numPr>
          <w:ilvl w:val="0"/>
          <w:numId w:val="2"/>
        </w:numPr>
        <w:spacing w:after="0" w:line="240" w:lineRule="auto"/>
        <w:ind w:left="0" w:firstLine="709"/>
        <w:jc w:val="both"/>
        <w:rPr>
          <w:sz w:val="20"/>
          <w:szCs w:val="20"/>
          <w:lang w:val="uk-UA"/>
        </w:rPr>
      </w:pPr>
      <w:r w:rsidRPr="00351A92">
        <w:rPr>
          <w:sz w:val="20"/>
          <w:szCs w:val="20"/>
          <w:lang w:val="uk-UA"/>
        </w:rPr>
        <w:t xml:space="preserve">Вихід іноземного капіталу з банківської системи України призведе до її занепаду–О. Соскін / Українські національні новини. – [Електронний ресурс]. – Режим доступу: http://www.unn.com.ua/uk/ </w:t>
      </w:r>
      <w:proofErr w:type="spellStart"/>
      <w:r w:rsidRPr="00351A92">
        <w:rPr>
          <w:sz w:val="20"/>
          <w:szCs w:val="20"/>
          <w:lang w:val="uk-UA"/>
        </w:rPr>
        <w:t>exclusive</w:t>
      </w:r>
      <w:proofErr w:type="spellEnd"/>
      <w:r w:rsidRPr="00351A92">
        <w:rPr>
          <w:sz w:val="20"/>
          <w:szCs w:val="20"/>
          <w:lang w:val="uk-UA"/>
        </w:rPr>
        <w:t>/ 566836-vihidinozemnogo-kapitalu-z-bankivskoyisistemi-ukrayini-prizvede-do-yiyi-zanepadu-%E2%80%93-o.soskin</w:t>
      </w:r>
    </w:p>
    <w:p w:rsidR="00BE41B6" w:rsidRPr="0082109D" w:rsidRDefault="00BE41B6" w:rsidP="0082109D">
      <w:pPr>
        <w:pStyle w:val="a6"/>
        <w:numPr>
          <w:ilvl w:val="0"/>
          <w:numId w:val="2"/>
        </w:numPr>
        <w:spacing w:after="0" w:line="240" w:lineRule="auto"/>
        <w:ind w:left="0" w:firstLine="709"/>
        <w:jc w:val="both"/>
        <w:rPr>
          <w:sz w:val="20"/>
          <w:szCs w:val="20"/>
          <w:lang w:val="uk-UA"/>
        </w:rPr>
      </w:pPr>
      <w:proofErr w:type="spellStart"/>
      <w:r w:rsidRPr="00351A92">
        <w:rPr>
          <w:sz w:val="20"/>
          <w:szCs w:val="20"/>
          <w:lang w:val="uk-UA"/>
        </w:rPr>
        <w:t>Чиригба</w:t>
      </w:r>
      <w:proofErr w:type="spellEnd"/>
      <w:r w:rsidRPr="00351A92">
        <w:rPr>
          <w:sz w:val="20"/>
          <w:szCs w:val="20"/>
          <w:lang w:val="uk-UA"/>
        </w:rPr>
        <w:t xml:space="preserve"> А.Г. </w:t>
      </w:r>
      <w:proofErr w:type="spellStart"/>
      <w:r w:rsidRPr="00351A92">
        <w:rPr>
          <w:sz w:val="20"/>
          <w:szCs w:val="20"/>
          <w:lang w:val="uk-UA"/>
        </w:rPr>
        <w:t>Интеграция</w:t>
      </w:r>
      <w:proofErr w:type="spellEnd"/>
      <w:r w:rsidRPr="00351A92">
        <w:rPr>
          <w:sz w:val="20"/>
          <w:szCs w:val="20"/>
          <w:lang w:val="uk-UA"/>
        </w:rPr>
        <w:t xml:space="preserve"> </w:t>
      </w:r>
      <w:proofErr w:type="spellStart"/>
      <w:r w:rsidRPr="00351A92">
        <w:rPr>
          <w:sz w:val="20"/>
          <w:szCs w:val="20"/>
          <w:lang w:val="uk-UA"/>
        </w:rPr>
        <w:t>банковских</w:t>
      </w:r>
      <w:proofErr w:type="spellEnd"/>
      <w:r w:rsidRPr="00351A92">
        <w:rPr>
          <w:sz w:val="20"/>
          <w:szCs w:val="20"/>
          <w:lang w:val="uk-UA"/>
        </w:rPr>
        <w:t xml:space="preserve"> систем: </w:t>
      </w:r>
      <w:proofErr w:type="spellStart"/>
      <w:r w:rsidRPr="00351A92">
        <w:rPr>
          <w:sz w:val="20"/>
          <w:szCs w:val="20"/>
          <w:lang w:val="uk-UA"/>
        </w:rPr>
        <w:t>предпосылки</w:t>
      </w:r>
      <w:proofErr w:type="spellEnd"/>
      <w:r w:rsidRPr="00351A92">
        <w:rPr>
          <w:sz w:val="20"/>
          <w:szCs w:val="20"/>
          <w:lang w:val="uk-UA"/>
        </w:rPr>
        <w:t xml:space="preserve">, </w:t>
      </w:r>
      <w:proofErr w:type="spellStart"/>
      <w:r w:rsidRPr="00351A92">
        <w:rPr>
          <w:sz w:val="20"/>
          <w:szCs w:val="20"/>
          <w:lang w:val="uk-UA"/>
        </w:rPr>
        <w:t>причины</w:t>
      </w:r>
      <w:proofErr w:type="spellEnd"/>
      <w:r w:rsidRPr="00351A92">
        <w:rPr>
          <w:sz w:val="20"/>
          <w:szCs w:val="20"/>
          <w:lang w:val="uk-UA"/>
        </w:rPr>
        <w:t xml:space="preserve">, </w:t>
      </w:r>
      <w:proofErr w:type="spellStart"/>
      <w:r w:rsidRPr="00351A92">
        <w:rPr>
          <w:sz w:val="20"/>
          <w:szCs w:val="20"/>
          <w:lang w:val="uk-UA"/>
        </w:rPr>
        <w:t>цели</w:t>
      </w:r>
      <w:proofErr w:type="spellEnd"/>
      <w:r w:rsidRPr="00351A92">
        <w:rPr>
          <w:sz w:val="20"/>
          <w:szCs w:val="20"/>
          <w:lang w:val="uk-UA"/>
        </w:rPr>
        <w:t xml:space="preserve"> и </w:t>
      </w:r>
      <w:proofErr w:type="spellStart"/>
      <w:r w:rsidRPr="00351A92">
        <w:rPr>
          <w:sz w:val="20"/>
          <w:szCs w:val="20"/>
          <w:lang w:val="uk-UA"/>
        </w:rPr>
        <w:t>формы</w:t>
      </w:r>
      <w:proofErr w:type="spellEnd"/>
      <w:r w:rsidR="00351A92">
        <w:rPr>
          <w:sz w:val="20"/>
          <w:szCs w:val="20"/>
          <w:lang w:val="uk-UA"/>
        </w:rPr>
        <w:t xml:space="preserve"> </w:t>
      </w:r>
      <w:r w:rsidRPr="00351A92">
        <w:rPr>
          <w:sz w:val="20"/>
          <w:szCs w:val="20"/>
          <w:lang w:val="uk-UA"/>
        </w:rPr>
        <w:t>//</w:t>
      </w:r>
      <w:r w:rsidR="00351A92">
        <w:rPr>
          <w:sz w:val="20"/>
          <w:szCs w:val="20"/>
          <w:lang w:val="uk-UA"/>
        </w:rPr>
        <w:t xml:space="preserve"> </w:t>
      </w:r>
      <w:proofErr w:type="spellStart"/>
      <w:r w:rsidRPr="00351A92">
        <w:rPr>
          <w:sz w:val="20"/>
          <w:szCs w:val="20"/>
          <w:lang w:val="uk-UA"/>
        </w:rPr>
        <w:t>Экономика</w:t>
      </w:r>
      <w:proofErr w:type="spellEnd"/>
      <w:r w:rsidRPr="00351A92">
        <w:rPr>
          <w:sz w:val="20"/>
          <w:szCs w:val="20"/>
          <w:lang w:val="uk-UA"/>
        </w:rPr>
        <w:t xml:space="preserve">: </w:t>
      </w:r>
      <w:proofErr w:type="spellStart"/>
      <w:r w:rsidRPr="00351A92">
        <w:rPr>
          <w:sz w:val="20"/>
          <w:szCs w:val="20"/>
          <w:lang w:val="uk-UA"/>
        </w:rPr>
        <w:t>вчера</w:t>
      </w:r>
      <w:proofErr w:type="spellEnd"/>
      <w:r w:rsidRPr="00351A92">
        <w:rPr>
          <w:sz w:val="20"/>
          <w:szCs w:val="20"/>
          <w:lang w:val="uk-UA"/>
        </w:rPr>
        <w:t xml:space="preserve">, </w:t>
      </w:r>
      <w:proofErr w:type="spellStart"/>
      <w:r w:rsidRPr="00351A92">
        <w:rPr>
          <w:sz w:val="20"/>
          <w:szCs w:val="20"/>
          <w:lang w:val="uk-UA"/>
        </w:rPr>
        <w:t>сегодня</w:t>
      </w:r>
      <w:proofErr w:type="spellEnd"/>
      <w:r w:rsidRPr="00351A92">
        <w:rPr>
          <w:sz w:val="20"/>
          <w:szCs w:val="20"/>
          <w:lang w:val="uk-UA"/>
        </w:rPr>
        <w:t xml:space="preserve">, завтра. 2016. </w:t>
      </w:r>
      <w:r w:rsidRPr="0082109D">
        <w:rPr>
          <w:sz w:val="20"/>
          <w:szCs w:val="20"/>
          <w:lang w:val="uk-UA"/>
        </w:rPr>
        <w:sym w:font="Symbol" w:char="F02D"/>
      </w:r>
      <w:r w:rsidRPr="00351A92">
        <w:rPr>
          <w:sz w:val="20"/>
          <w:szCs w:val="20"/>
          <w:lang w:val="uk-UA"/>
        </w:rPr>
        <w:t xml:space="preserve"> № 4. </w:t>
      </w:r>
      <w:r w:rsidRPr="0082109D">
        <w:rPr>
          <w:sz w:val="20"/>
          <w:szCs w:val="20"/>
          <w:lang w:val="uk-UA"/>
        </w:rPr>
        <w:sym w:font="Symbol" w:char="F02D"/>
      </w:r>
      <w:r w:rsidRPr="00351A92">
        <w:rPr>
          <w:sz w:val="20"/>
          <w:szCs w:val="20"/>
          <w:lang w:val="uk-UA"/>
        </w:rPr>
        <w:t xml:space="preserve"> С. 120-129.</w:t>
      </w:r>
    </w:p>
    <w:p w:rsidR="0082109D" w:rsidRDefault="0082109D" w:rsidP="0082109D">
      <w:pPr>
        <w:pStyle w:val="a6"/>
        <w:numPr>
          <w:ilvl w:val="0"/>
          <w:numId w:val="2"/>
        </w:numPr>
        <w:autoSpaceDE w:val="0"/>
        <w:autoSpaceDN w:val="0"/>
        <w:adjustRightInd w:val="0"/>
        <w:spacing w:after="0" w:line="240" w:lineRule="auto"/>
        <w:ind w:left="0" w:firstLine="709"/>
        <w:jc w:val="both"/>
        <w:rPr>
          <w:rFonts w:ascii="TimesNewRomanPSMT" w:hAnsi="TimesNewRomanPSMT" w:cs="TimesNewRomanPSMT"/>
          <w:sz w:val="20"/>
          <w:szCs w:val="20"/>
          <w:lang w:val="en-US"/>
        </w:rPr>
      </w:pPr>
      <w:r w:rsidRPr="0082109D">
        <w:rPr>
          <w:rFonts w:ascii="TimesNewRomanPSMT" w:hAnsi="TimesNewRomanPSMT" w:cs="TimesNewRomanPSMT"/>
          <w:sz w:val="20"/>
          <w:szCs w:val="20"/>
          <w:lang w:val="en-US"/>
        </w:rPr>
        <w:t>M&amp;A review full year 201</w:t>
      </w:r>
      <w:r w:rsidR="008C6722">
        <w:rPr>
          <w:rFonts w:ascii="TimesNewRomanPSMT" w:hAnsi="TimesNewRomanPSMT" w:cs="TimesNewRomanPSMT"/>
          <w:sz w:val="20"/>
          <w:szCs w:val="20"/>
          <w:lang w:val="en-US"/>
        </w:rPr>
        <w:t>7</w:t>
      </w:r>
      <w:r w:rsidRPr="0082109D">
        <w:rPr>
          <w:rFonts w:ascii="TimesNewRomanPSMT" w:hAnsi="TimesNewRomanPSMT" w:cs="TimesNewRomanPSMT"/>
          <w:sz w:val="20"/>
          <w:szCs w:val="20"/>
          <w:lang w:val="en-US"/>
        </w:rPr>
        <w:t>: Thomson Reuters [</w:t>
      </w:r>
      <w:proofErr w:type="spellStart"/>
      <w:r w:rsidRPr="00DE195A">
        <w:rPr>
          <w:rFonts w:ascii="TimesNewRomanPSMT" w:hAnsi="TimesNewRomanPSMT" w:cs="TimesNewRomanPSMT"/>
          <w:sz w:val="20"/>
          <w:szCs w:val="20"/>
        </w:rPr>
        <w:t>Електронний</w:t>
      </w:r>
      <w:proofErr w:type="spellEnd"/>
      <w:r w:rsidRPr="0082109D">
        <w:rPr>
          <w:rFonts w:ascii="TimesNewRomanPSMT" w:hAnsi="TimesNewRomanPSMT" w:cs="TimesNewRomanPSMT"/>
          <w:sz w:val="20"/>
          <w:szCs w:val="20"/>
          <w:lang w:val="en-US"/>
        </w:rPr>
        <w:t xml:space="preserve"> </w:t>
      </w:r>
      <w:r w:rsidRPr="00DE195A">
        <w:rPr>
          <w:rFonts w:ascii="TimesNewRomanPSMT" w:hAnsi="TimesNewRomanPSMT" w:cs="TimesNewRomanPSMT"/>
          <w:sz w:val="20"/>
          <w:szCs w:val="20"/>
        </w:rPr>
        <w:t>ресурс</w:t>
      </w:r>
      <w:r w:rsidRPr="0082109D">
        <w:rPr>
          <w:rFonts w:ascii="TimesNewRomanPSMT" w:hAnsi="TimesNewRomanPSMT" w:cs="TimesNewRomanPSMT"/>
          <w:sz w:val="20"/>
          <w:szCs w:val="20"/>
          <w:lang w:val="en-US"/>
        </w:rPr>
        <w:t xml:space="preserve">]. – </w:t>
      </w:r>
      <w:r w:rsidRPr="00DE195A">
        <w:rPr>
          <w:rFonts w:ascii="TimesNewRomanPSMT" w:hAnsi="TimesNewRomanPSMT" w:cs="TimesNewRomanPSMT"/>
          <w:sz w:val="20"/>
          <w:szCs w:val="20"/>
        </w:rPr>
        <w:t>Режим</w:t>
      </w:r>
      <w:r w:rsidRPr="0082109D">
        <w:rPr>
          <w:rFonts w:ascii="TimesNewRomanPSMT" w:hAnsi="TimesNewRomanPSMT" w:cs="TimesNewRomanPSMT"/>
          <w:sz w:val="20"/>
          <w:szCs w:val="20"/>
          <w:lang w:val="en-US"/>
        </w:rPr>
        <w:t xml:space="preserve"> </w:t>
      </w:r>
      <w:r w:rsidRPr="00DE195A">
        <w:rPr>
          <w:rFonts w:ascii="TimesNewRomanPSMT" w:hAnsi="TimesNewRomanPSMT" w:cs="TimesNewRomanPSMT"/>
          <w:sz w:val="20"/>
          <w:szCs w:val="20"/>
        </w:rPr>
        <w:t>доступу</w:t>
      </w:r>
      <w:r w:rsidRPr="0082109D">
        <w:rPr>
          <w:rFonts w:ascii="TimesNewRomanPSMT" w:hAnsi="TimesNewRomanPSMT" w:cs="TimesNewRomanPSMT"/>
          <w:sz w:val="20"/>
          <w:szCs w:val="20"/>
          <w:lang w:val="en-US"/>
        </w:rPr>
        <w:t>:http://www.hitc.com/en-gb/201</w:t>
      </w:r>
      <w:r w:rsidR="008C6722">
        <w:rPr>
          <w:rFonts w:ascii="TimesNewRomanPSMT" w:hAnsi="TimesNewRomanPSMT" w:cs="TimesNewRomanPSMT"/>
          <w:sz w:val="20"/>
          <w:szCs w:val="20"/>
          <w:lang w:val="en-US"/>
        </w:rPr>
        <w:t>7</w:t>
      </w:r>
      <w:r w:rsidRPr="0082109D">
        <w:rPr>
          <w:rFonts w:ascii="TimesNewRomanPSMT" w:hAnsi="TimesNewRomanPSMT" w:cs="TimesNewRomanPSMT"/>
          <w:sz w:val="20"/>
          <w:szCs w:val="20"/>
          <w:lang w:val="en-US"/>
        </w:rPr>
        <w:t>/01/06/ma-review-full-year-201</w:t>
      </w:r>
      <w:r w:rsidR="008C6722">
        <w:rPr>
          <w:rFonts w:ascii="TimesNewRomanPSMT" w:hAnsi="TimesNewRomanPSMT" w:cs="TimesNewRomanPSMT"/>
          <w:sz w:val="20"/>
          <w:szCs w:val="20"/>
          <w:lang w:val="en-US"/>
        </w:rPr>
        <w:t>7</w:t>
      </w:r>
      <w:r w:rsidRPr="0082109D">
        <w:rPr>
          <w:rFonts w:ascii="TimesNewRomanPSMT" w:hAnsi="TimesNewRomanPSMT" w:cs="TimesNewRomanPSMT"/>
          <w:sz w:val="20"/>
          <w:szCs w:val="20"/>
          <w:lang w:val="en-US"/>
        </w:rPr>
        <w:t>-thomson-reuters/.</w:t>
      </w:r>
    </w:p>
    <w:p w:rsidR="008C6722" w:rsidRPr="008C6722" w:rsidRDefault="008C6722" w:rsidP="0082109D">
      <w:pPr>
        <w:pStyle w:val="a6"/>
        <w:numPr>
          <w:ilvl w:val="0"/>
          <w:numId w:val="2"/>
        </w:numPr>
        <w:autoSpaceDE w:val="0"/>
        <w:autoSpaceDN w:val="0"/>
        <w:adjustRightInd w:val="0"/>
        <w:spacing w:after="0" w:line="240" w:lineRule="auto"/>
        <w:ind w:left="0" w:firstLine="709"/>
        <w:jc w:val="both"/>
        <w:rPr>
          <w:rFonts w:ascii="TimesNewRomanPSMT" w:hAnsi="TimesNewRomanPSMT" w:cs="TimesNewRomanPSMT"/>
          <w:sz w:val="20"/>
          <w:szCs w:val="20"/>
        </w:rPr>
      </w:pPr>
      <w:r w:rsidRPr="008C6722">
        <w:rPr>
          <w:rFonts w:ascii="TimesNewRomanPSMT" w:hAnsi="TimesNewRomanPSMT" w:cs="TimesNewRomanPSMT"/>
          <w:sz w:val="20"/>
          <w:szCs w:val="20"/>
          <w:lang w:val="en-US"/>
        </w:rPr>
        <w:t>www</w:t>
      </w:r>
      <w:r w:rsidRPr="008C6722">
        <w:rPr>
          <w:rFonts w:ascii="TimesNewRomanPSMT" w:hAnsi="TimesNewRomanPSMT" w:cs="TimesNewRomanPSMT"/>
          <w:sz w:val="20"/>
          <w:szCs w:val="20"/>
        </w:rPr>
        <w:t>.</w:t>
      </w:r>
      <w:proofErr w:type="spellStart"/>
      <w:r w:rsidRPr="008C6722">
        <w:rPr>
          <w:rFonts w:ascii="TimesNewRomanPSMT" w:hAnsi="TimesNewRomanPSMT" w:cs="TimesNewRomanPSMT"/>
          <w:sz w:val="20"/>
          <w:szCs w:val="20"/>
          <w:lang w:val="en-US"/>
        </w:rPr>
        <w:t>bahk</w:t>
      </w:r>
      <w:proofErr w:type="spellEnd"/>
      <w:r w:rsidRPr="008C6722">
        <w:rPr>
          <w:rFonts w:ascii="TimesNewRomanPSMT" w:hAnsi="TimesNewRomanPSMT" w:cs="TimesNewRomanPSMT"/>
          <w:sz w:val="20"/>
          <w:szCs w:val="20"/>
        </w:rPr>
        <w:t>.</w:t>
      </w:r>
      <w:proofErr w:type="spellStart"/>
      <w:r w:rsidRPr="008C6722">
        <w:rPr>
          <w:rFonts w:ascii="TimesNewRomanPSMT" w:hAnsi="TimesNewRomanPSMT" w:cs="TimesNewRomanPSMT"/>
          <w:sz w:val="20"/>
          <w:szCs w:val="20"/>
          <w:lang w:val="en-US"/>
        </w:rPr>
        <w:t>gov</w:t>
      </w:r>
      <w:proofErr w:type="spellEnd"/>
      <w:r w:rsidRPr="008C6722">
        <w:rPr>
          <w:rFonts w:ascii="TimesNewRomanPSMT" w:hAnsi="TimesNewRomanPSMT" w:cs="TimesNewRomanPSMT"/>
          <w:sz w:val="20"/>
          <w:szCs w:val="20"/>
        </w:rPr>
        <w:t>.</w:t>
      </w:r>
      <w:proofErr w:type="spellStart"/>
      <w:r w:rsidRPr="008C6722">
        <w:rPr>
          <w:rFonts w:ascii="TimesNewRomanPSMT" w:hAnsi="TimesNewRomanPSMT" w:cs="TimesNewRomanPSMT"/>
          <w:sz w:val="20"/>
          <w:szCs w:val="20"/>
          <w:lang w:val="en-US"/>
        </w:rPr>
        <w:t>ua</w:t>
      </w:r>
      <w:proofErr w:type="spellEnd"/>
      <w:r w:rsidRPr="008C6722">
        <w:rPr>
          <w:rFonts w:ascii="TimesNewRomanPSMT" w:hAnsi="TimesNewRomanPSMT" w:cs="TimesNewRomanPSMT"/>
          <w:sz w:val="20"/>
          <w:szCs w:val="20"/>
        </w:rPr>
        <w:t xml:space="preserve"> </w:t>
      </w:r>
      <w:r>
        <w:rPr>
          <w:rFonts w:ascii="TimesNewRomanPSMT" w:hAnsi="TimesNewRomanPSMT" w:cs="TimesNewRomanPSMT"/>
          <w:sz w:val="20"/>
          <w:szCs w:val="20"/>
          <w:lang w:val="uk-UA"/>
        </w:rPr>
        <w:t>– офіційний сайт Національно банку України</w:t>
      </w:r>
    </w:p>
    <w:p w:rsidR="0082109D" w:rsidRPr="008C6722" w:rsidRDefault="0082109D" w:rsidP="0082109D">
      <w:pPr>
        <w:pStyle w:val="a6"/>
        <w:spacing w:after="0" w:line="240" w:lineRule="auto"/>
        <w:ind w:left="709"/>
        <w:jc w:val="both"/>
        <w:rPr>
          <w:sz w:val="20"/>
          <w:szCs w:val="20"/>
        </w:rPr>
      </w:pPr>
    </w:p>
    <w:sectPr w:rsidR="0082109D" w:rsidRPr="008C6722" w:rsidSect="00B8091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5823"/>
    <w:multiLevelType w:val="hybridMultilevel"/>
    <w:tmpl w:val="F802112C"/>
    <w:lvl w:ilvl="0" w:tplc="8272BF8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DDB0F1A"/>
    <w:multiLevelType w:val="hybridMultilevel"/>
    <w:tmpl w:val="DD34D36C"/>
    <w:lvl w:ilvl="0" w:tplc="75DAB906">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DFB55DD"/>
    <w:multiLevelType w:val="hybridMultilevel"/>
    <w:tmpl w:val="6AEC7A2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16"/>
    <w:rsid w:val="00032116"/>
    <w:rsid w:val="00087C31"/>
    <w:rsid w:val="001101CB"/>
    <w:rsid w:val="001301E4"/>
    <w:rsid w:val="001439BA"/>
    <w:rsid w:val="001A3403"/>
    <w:rsid w:val="001D31E2"/>
    <w:rsid w:val="002517A4"/>
    <w:rsid w:val="00284FF2"/>
    <w:rsid w:val="00320A77"/>
    <w:rsid w:val="00346C9A"/>
    <w:rsid w:val="00351A92"/>
    <w:rsid w:val="003B68DF"/>
    <w:rsid w:val="00425268"/>
    <w:rsid w:val="0044416F"/>
    <w:rsid w:val="004C1207"/>
    <w:rsid w:val="004E37AC"/>
    <w:rsid w:val="005B43D8"/>
    <w:rsid w:val="006638E5"/>
    <w:rsid w:val="006900C6"/>
    <w:rsid w:val="00717747"/>
    <w:rsid w:val="007A6AA7"/>
    <w:rsid w:val="007A7A63"/>
    <w:rsid w:val="0082109D"/>
    <w:rsid w:val="00855ADD"/>
    <w:rsid w:val="00887F85"/>
    <w:rsid w:val="008C6722"/>
    <w:rsid w:val="008C6C18"/>
    <w:rsid w:val="008D7DC7"/>
    <w:rsid w:val="008F0819"/>
    <w:rsid w:val="009317E5"/>
    <w:rsid w:val="009741BB"/>
    <w:rsid w:val="00A40D81"/>
    <w:rsid w:val="00A60202"/>
    <w:rsid w:val="00A7203D"/>
    <w:rsid w:val="00A907D6"/>
    <w:rsid w:val="00AB625A"/>
    <w:rsid w:val="00AD06E0"/>
    <w:rsid w:val="00B101EE"/>
    <w:rsid w:val="00B54CA3"/>
    <w:rsid w:val="00B65902"/>
    <w:rsid w:val="00B80912"/>
    <w:rsid w:val="00BB49DE"/>
    <w:rsid w:val="00BE41B6"/>
    <w:rsid w:val="00C2107A"/>
    <w:rsid w:val="00C74504"/>
    <w:rsid w:val="00CB28DB"/>
    <w:rsid w:val="00CC6F66"/>
    <w:rsid w:val="00D338D9"/>
    <w:rsid w:val="00D90F2F"/>
    <w:rsid w:val="00E01922"/>
    <w:rsid w:val="00E02E43"/>
    <w:rsid w:val="00E22ECA"/>
    <w:rsid w:val="00E34F22"/>
    <w:rsid w:val="00E80871"/>
    <w:rsid w:val="00E82DB0"/>
    <w:rsid w:val="00E94054"/>
    <w:rsid w:val="00EE4CF7"/>
    <w:rsid w:val="00EF72E7"/>
    <w:rsid w:val="00F12427"/>
    <w:rsid w:val="00F17D97"/>
    <w:rsid w:val="00F73D9C"/>
    <w:rsid w:val="00FF3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16"/>
    <w:rPr>
      <w:rFonts w:ascii="Times New Roman" w:hAnsi="Times New Roman" w:cs="Times New Roman"/>
      <w:color w:val="000000"/>
      <w:sz w:val="28"/>
      <w:szCs w:val="28"/>
    </w:rPr>
  </w:style>
  <w:style w:type="paragraph" w:styleId="2">
    <w:name w:val="heading 2"/>
    <w:basedOn w:val="a"/>
    <w:next w:val="a"/>
    <w:link w:val="20"/>
    <w:uiPriority w:val="9"/>
    <w:unhideWhenUsed/>
    <w:qFormat/>
    <w:rsid w:val="000321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2116"/>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032116"/>
    <w:pPr>
      <w:spacing w:after="0" w:line="240" w:lineRule="auto"/>
    </w:pPr>
    <w:rPr>
      <w:rFonts w:ascii="Times New Roman" w:hAnsi="Times New Roman" w:cs="Times New Roman"/>
      <w:color w:val="000000"/>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321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2116"/>
    <w:rPr>
      <w:rFonts w:ascii="Tahoma" w:hAnsi="Tahoma" w:cs="Tahoma"/>
      <w:color w:val="000000"/>
      <w:sz w:val="16"/>
      <w:szCs w:val="16"/>
    </w:rPr>
  </w:style>
  <w:style w:type="paragraph" w:styleId="a6">
    <w:name w:val="List Paragraph"/>
    <w:basedOn w:val="a"/>
    <w:uiPriority w:val="34"/>
    <w:qFormat/>
    <w:rsid w:val="00E02E43"/>
    <w:pPr>
      <w:ind w:left="720"/>
      <w:contextualSpacing/>
    </w:pPr>
  </w:style>
  <w:style w:type="paragraph" w:customStyle="1" w:styleId="Default">
    <w:name w:val="Default"/>
    <w:rsid w:val="00A40D81"/>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7">
    <w:name w:val="Hyperlink"/>
    <w:basedOn w:val="a0"/>
    <w:uiPriority w:val="99"/>
    <w:unhideWhenUsed/>
    <w:rsid w:val="00BE41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16"/>
    <w:rPr>
      <w:rFonts w:ascii="Times New Roman" w:hAnsi="Times New Roman" w:cs="Times New Roman"/>
      <w:color w:val="000000"/>
      <w:sz w:val="28"/>
      <w:szCs w:val="28"/>
    </w:rPr>
  </w:style>
  <w:style w:type="paragraph" w:styleId="2">
    <w:name w:val="heading 2"/>
    <w:basedOn w:val="a"/>
    <w:next w:val="a"/>
    <w:link w:val="20"/>
    <w:uiPriority w:val="9"/>
    <w:unhideWhenUsed/>
    <w:qFormat/>
    <w:rsid w:val="000321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2116"/>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032116"/>
    <w:pPr>
      <w:spacing w:after="0" w:line="240" w:lineRule="auto"/>
    </w:pPr>
    <w:rPr>
      <w:rFonts w:ascii="Times New Roman" w:hAnsi="Times New Roman" w:cs="Times New Roman"/>
      <w:color w:val="000000"/>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321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2116"/>
    <w:rPr>
      <w:rFonts w:ascii="Tahoma" w:hAnsi="Tahoma" w:cs="Tahoma"/>
      <w:color w:val="000000"/>
      <w:sz w:val="16"/>
      <w:szCs w:val="16"/>
    </w:rPr>
  </w:style>
  <w:style w:type="paragraph" w:styleId="a6">
    <w:name w:val="List Paragraph"/>
    <w:basedOn w:val="a"/>
    <w:uiPriority w:val="34"/>
    <w:qFormat/>
    <w:rsid w:val="00E02E43"/>
    <w:pPr>
      <w:ind w:left="720"/>
      <w:contextualSpacing/>
    </w:pPr>
  </w:style>
  <w:style w:type="paragraph" w:customStyle="1" w:styleId="Default">
    <w:name w:val="Default"/>
    <w:rsid w:val="00A40D81"/>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7">
    <w:name w:val="Hyperlink"/>
    <w:basedOn w:val="a0"/>
    <w:uiPriority w:val="99"/>
    <w:unhideWhenUsed/>
    <w:rsid w:val="00BE4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Внутрішньоринкові</c:v>
                </c:pt>
              </c:strCache>
            </c:strRef>
          </c:tx>
          <c:invertIfNegative val="0"/>
          <c:dLbls>
            <c:dLbl>
              <c:idx val="0"/>
              <c:tx>
                <c:rich>
                  <a:bodyPr/>
                  <a:lstStyle/>
                  <a:p>
                    <a:r>
                      <a:rPr lang="en-US" sz="900" b="0">
                        <a:latin typeface="Times New Roman" pitchFamily="18" charset="0"/>
                        <a:cs typeface="Times New Roman" pitchFamily="18" charset="0"/>
                      </a:rPr>
                      <a:t>4</a:t>
                    </a:r>
                    <a:r>
                      <a:rPr lang="en-US" sz="900" b="0"/>
                      <a:t>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302-4220-B0D4-02A32D03659E}"/>
                </c:ext>
              </c:extLst>
            </c:dLbl>
            <c:dLbl>
              <c:idx val="1"/>
              <c:tx>
                <c:rich>
                  <a:bodyPr/>
                  <a:lstStyle/>
                  <a:p>
                    <a:r>
                      <a:rPr lang="en-US" sz="900" b="0">
                        <a:latin typeface="Times New Roman" pitchFamily="18" charset="0"/>
                        <a:cs typeface="Times New Roman" pitchFamily="18" charset="0"/>
                      </a:rPr>
                      <a:t>2</a:t>
                    </a:r>
                    <a:r>
                      <a:rPr lang="en-US" sz="900" b="0"/>
                      <a:t>9</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302-4220-B0D4-02A32D03659E}"/>
                </c:ext>
              </c:extLst>
            </c:dLbl>
            <c:dLbl>
              <c:idx val="2"/>
              <c:tx>
                <c:rich>
                  <a:bodyPr/>
                  <a:lstStyle/>
                  <a:p>
                    <a:r>
                      <a:rPr lang="en-US" sz="900" b="0">
                        <a:latin typeface="Times New Roman" pitchFamily="18" charset="0"/>
                        <a:cs typeface="Times New Roman" pitchFamily="18" charset="0"/>
                      </a:rPr>
                      <a:t>2</a:t>
                    </a:r>
                    <a:r>
                      <a:rPr lang="en-US" sz="900" b="0"/>
                      <a:t>4</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302-4220-B0D4-02A32D03659E}"/>
                </c:ext>
              </c:extLst>
            </c:dLbl>
            <c:dLbl>
              <c:idx val="3"/>
              <c:tx>
                <c:rich>
                  <a:bodyPr/>
                  <a:lstStyle/>
                  <a:p>
                    <a:r>
                      <a:rPr lang="en-US" sz="900" b="0">
                        <a:latin typeface="Times New Roman" pitchFamily="18" charset="0"/>
                        <a:cs typeface="Times New Roman" pitchFamily="18" charset="0"/>
                      </a:rPr>
                      <a:t>3</a:t>
                    </a:r>
                    <a:r>
                      <a:rPr lang="en-US" sz="900" b="0"/>
                      <a:t>6</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302-4220-B0D4-02A32D03659E}"/>
                </c:ext>
              </c:extLst>
            </c:dLbl>
            <c:dLbl>
              <c:idx val="4"/>
              <c:tx>
                <c:rich>
                  <a:bodyPr/>
                  <a:lstStyle/>
                  <a:p>
                    <a:r>
                      <a:rPr lang="en-US" sz="900" b="0">
                        <a:latin typeface="Times New Roman" pitchFamily="18" charset="0"/>
                        <a:cs typeface="Times New Roman" pitchFamily="18" charset="0"/>
                      </a:rPr>
                      <a:t>1</a:t>
                    </a:r>
                    <a:r>
                      <a:rPr lang="en-US" sz="900" b="0"/>
                      <a:t>8</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302-4220-B0D4-02A32D03659E}"/>
                </c:ext>
              </c:extLst>
            </c:dLbl>
            <c:dLbl>
              <c:idx val="5"/>
              <c:tx>
                <c:rich>
                  <a:bodyPr/>
                  <a:lstStyle/>
                  <a:p>
                    <a:r>
                      <a:rPr lang="en-US" sz="900" b="0">
                        <a:latin typeface="Times New Roman" pitchFamily="18" charset="0"/>
                        <a:cs typeface="Times New Roman" pitchFamily="18" charset="0"/>
                      </a:rPr>
                      <a:t>8</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302-4220-B0D4-02A32D03659E}"/>
                </c:ext>
              </c:extLst>
            </c:dLbl>
            <c:spPr>
              <a:noFill/>
              <a:ln>
                <a:noFill/>
              </a:ln>
              <a:effectLst/>
            </c:spPr>
            <c:txPr>
              <a:bodyPr/>
              <a:lstStyle/>
              <a:p>
                <a:pPr>
                  <a:defRPr sz="900" b="0"/>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2001</c:v>
                </c:pt>
                <c:pt idx="1">
                  <c:v>2007</c:v>
                </c:pt>
                <c:pt idx="2">
                  <c:v>2010</c:v>
                </c:pt>
                <c:pt idx="3">
                  <c:v>2015</c:v>
                </c:pt>
                <c:pt idx="4">
                  <c:v>2016</c:v>
                </c:pt>
                <c:pt idx="5">
                  <c:v>2017</c:v>
                </c:pt>
              </c:numCache>
            </c:numRef>
          </c:cat>
          <c:val>
            <c:numRef>
              <c:f>Лист1!$B$2:$B$7</c:f>
              <c:numCache>
                <c:formatCode>General</c:formatCode>
                <c:ptCount val="6"/>
                <c:pt idx="0">
                  <c:v>283</c:v>
                </c:pt>
                <c:pt idx="1">
                  <c:v>174</c:v>
                </c:pt>
                <c:pt idx="2">
                  <c:v>196</c:v>
                </c:pt>
                <c:pt idx="3">
                  <c:v>129</c:v>
                </c:pt>
                <c:pt idx="4">
                  <c:v>101</c:v>
                </c:pt>
                <c:pt idx="5">
                  <c:v>103</c:v>
                </c:pt>
              </c:numCache>
            </c:numRef>
          </c:val>
          <c:extLst xmlns:c16r2="http://schemas.microsoft.com/office/drawing/2015/06/chart">
            <c:ext xmlns:c16="http://schemas.microsoft.com/office/drawing/2014/chart" uri="{C3380CC4-5D6E-409C-BE32-E72D297353CC}">
              <c16:uniqueId val="{00000006-3302-4220-B0D4-02A32D03659E}"/>
            </c:ext>
          </c:extLst>
        </c:ser>
        <c:ser>
          <c:idx val="1"/>
          <c:order val="1"/>
          <c:tx>
            <c:strRef>
              <c:f>Лист1!$C$1</c:f>
              <c:strCache>
                <c:ptCount val="1"/>
                <c:pt idx="0">
                  <c:v>Транскордонні</c:v>
                </c:pt>
              </c:strCache>
            </c:strRef>
          </c:tx>
          <c:invertIfNegative val="0"/>
          <c:dLbls>
            <c:dLbl>
              <c:idx val="0"/>
              <c:tx>
                <c:rich>
                  <a:bodyPr/>
                  <a:lstStyle/>
                  <a:p>
                    <a:r>
                      <a:rPr lang="en-US" sz="900" b="0">
                        <a:latin typeface="Times New Roman" pitchFamily="18" charset="0"/>
                        <a:cs typeface="Times New Roman" pitchFamily="18" charset="0"/>
                      </a:rPr>
                      <a:t>6</a:t>
                    </a:r>
                    <a:r>
                      <a:rPr lang="en-US" sz="900" b="0"/>
                      <a:t>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302-4220-B0D4-02A32D03659E}"/>
                </c:ext>
              </c:extLst>
            </c:dLbl>
            <c:dLbl>
              <c:idx val="1"/>
              <c:tx>
                <c:rich>
                  <a:bodyPr/>
                  <a:lstStyle/>
                  <a:p>
                    <a:r>
                      <a:rPr lang="en-US" sz="900" b="0">
                        <a:latin typeface="Times New Roman" pitchFamily="18" charset="0"/>
                        <a:cs typeface="Times New Roman" pitchFamily="18" charset="0"/>
                      </a:rPr>
                      <a:t>5</a:t>
                    </a:r>
                    <a:r>
                      <a:rPr lang="en-US" sz="900" b="0"/>
                      <a:t>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302-4220-B0D4-02A32D03659E}"/>
                </c:ext>
              </c:extLst>
            </c:dLbl>
            <c:dLbl>
              <c:idx val="2"/>
              <c:tx>
                <c:rich>
                  <a:bodyPr/>
                  <a:lstStyle/>
                  <a:p>
                    <a:r>
                      <a:rPr lang="en-US" sz="900" b="0">
                        <a:latin typeface="Times New Roman" pitchFamily="18" charset="0"/>
                        <a:cs typeface="Times New Roman" pitchFamily="18" charset="0"/>
                      </a:rPr>
                      <a:t>3</a:t>
                    </a:r>
                    <a:r>
                      <a:rPr lang="en-US" sz="900" b="0"/>
                      <a:t>8</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302-4220-B0D4-02A32D03659E}"/>
                </c:ext>
              </c:extLst>
            </c:dLbl>
            <c:dLbl>
              <c:idx val="3"/>
              <c:layout>
                <c:manualLayout>
                  <c:x val="0"/>
                  <c:y val="7.9365079365079378E-3"/>
                </c:manualLayout>
              </c:layout>
              <c:tx>
                <c:rich>
                  <a:bodyPr/>
                  <a:lstStyle/>
                  <a:p>
                    <a:r>
                      <a:rPr lang="en-US" sz="900" b="0">
                        <a:latin typeface="Times New Roman" pitchFamily="18" charset="0"/>
                        <a:cs typeface="Times New Roman" pitchFamily="18" charset="0"/>
                      </a:rPr>
                      <a:t>7</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302-4220-B0D4-02A32D03659E}"/>
                </c:ext>
              </c:extLst>
            </c:dLbl>
            <c:dLbl>
              <c:idx val="4"/>
              <c:tx>
                <c:rich>
                  <a:bodyPr/>
                  <a:lstStyle/>
                  <a:p>
                    <a:r>
                      <a:rPr lang="en-US" sz="900" b="0">
                        <a:latin typeface="Times New Roman" pitchFamily="18" charset="0"/>
                        <a:cs typeface="Times New Roman" pitchFamily="18" charset="0"/>
                      </a:rPr>
                      <a:t>6</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302-4220-B0D4-02A32D03659E}"/>
                </c:ext>
              </c:extLst>
            </c:dLbl>
            <c:dLbl>
              <c:idx val="5"/>
              <c:tx>
                <c:rich>
                  <a:bodyPr/>
                  <a:lstStyle/>
                  <a:p>
                    <a:r>
                      <a:rPr lang="en-US" sz="900" b="0">
                        <a:latin typeface="Times New Roman" pitchFamily="18" charset="0"/>
                        <a:cs typeface="Times New Roman" pitchFamily="18" charset="0"/>
                      </a:rPr>
                      <a:t>1</a:t>
                    </a:r>
                    <a:r>
                      <a:rPr lang="en-US" sz="900" b="0"/>
                      <a:t>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302-4220-B0D4-02A32D03659E}"/>
                </c:ext>
              </c:extLst>
            </c:dLbl>
            <c:spPr>
              <a:noFill/>
              <a:ln>
                <a:noFill/>
              </a:ln>
              <a:effectLst/>
            </c:spPr>
            <c:txPr>
              <a:bodyPr/>
              <a:lstStyle/>
              <a:p>
                <a:pPr>
                  <a:defRPr sz="900" b="0"/>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2001</c:v>
                </c:pt>
                <c:pt idx="1">
                  <c:v>2007</c:v>
                </c:pt>
                <c:pt idx="2">
                  <c:v>2010</c:v>
                </c:pt>
                <c:pt idx="3">
                  <c:v>2015</c:v>
                </c:pt>
                <c:pt idx="4">
                  <c:v>2016</c:v>
                </c:pt>
                <c:pt idx="5">
                  <c:v>2017</c:v>
                </c:pt>
              </c:numCache>
            </c:numRef>
          </c:cat>
          <c:val>
            <c:numRef>
              <c:f>Лист1!$C$2:$C$7</c:f>
              <c:numCache>
                <c:formatCode>General</c:formatCode>
                <c:ptCount val="6"/>
                <c:pt idx="0">
                  <c:v>189</c:v>
                </c:pt>
                <c:pt idx="1">
                  <c:v>262</c:v>
                </c:pt>
                <c:pt idx="2">
                  <c:v>131</c:v>
                </c:pt>
                <c:pt idx="3">
                  <c:v>66</c:v>
                </c:pt>
                <c:pt idx="4">
                  <c:v>67</c:v>
                </c:pt>
                <c:pt idx="5">
                  <c:v>68</c:v>
                </c:pt>
              </c:numCache>
            </c:numRef>
          </c:val>
          <c:extLst xmlns:c16r2="http://schemas.microsoft.com/office/drawing/2015/06/chart">
            <c:ext xmlns:c16="http://schemas.microsoft.com/office/drawing/2014/chart" uri="{C3380CC4-5D6E-409C-BE32-E72D297353CC}">
              <c16:uniqueId val="{0000000D-3302-4220-B0D4-02A32D03659E}"/>
            </c:ext>
          </c:extLst>
        </c:ser>
        <c:ser>
          <c:idx val="2"/>
          <c:order val="2"/>
          <c:tx>
            <c:strRef>
              <c:f>Лист1!$D$1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2001</c:v>
                </c:pt>
                <c:pt idx="1">
                  <c:v>2007</c:v>
                </c:pt>
                <c:pt idx="2">
                  <c:v>2010</c:v>
                </c:pt>
                <c:pt idx="3">
                  <c:v>2015</c:v>
                </c:pt>
                <c:pt idx="4">
                  <c:v>2016</c:v>
                </c:pt>
                <c:pt idx="5">
                  <c:v>2017</c:v>
                </c:pt>
              </c:numCache>
            </c:num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E-3302-4220-B0D4-02A32D03659E}"/>
            </c:ext>
          </c:extLst>
        </c:ser>
        <c:dLbls>
          <c:showLegendKey val="0"/>
          <c:showVal val="1"/>
          <c:showCatName val="0"/>
          <c:showSerName val="0"/>
          <c:showPercent val="0"/>
          <c:showBubbleSize val="0"/>
        </c:dLbls>
        <c:gapWidth val="95"/>
        <c:gapDepth val="95"/>
        <c:shape val="box"/>
        <c:axId val="78690560"/>
        <c:axId val="78704640"/>
        <c:axId val="0"/>
      </c:bar3DChart>
      <c:catAx>
        <c:axId val="78690560"/>
        <c:scaling>
          <c:orientation val="minMax"/>
        </c:scaling>
        <c:delete val="0"/>
        <c:axPos val="b"/>
        <c:numFmt formatCode="General" sourceLinked="1"/>
        <c:majorTickMark val="none"/>
        <c:minorTickMark val="none"/>
        <c:tickLblPos val="nextTo"/>
        <c:crossAx val="78704640"/>
        <c:crosses val="autoZero"/>
        <c:auto val="1"/>
        <c:lblAlgn val="ctr"/>
        <c:lblOffset val="100"/>
        <c:noMultiLvlLbl val="0"/>
      </c:catAx>
      <c:valAx>
        <c:axId val="78704640"/>
        <c:scaling>
          <c:orientation val="minMax"/>
        </c:scaling>
        <c:delete val="1"/>
        <c:axPos val="l"/>
        <c:numFmt formatCode="General" sourceLinked="1"/>
        <c:majorTickMark val="none"/>
        <c:minorTickMark val="none"/>
        <c:tickLblPos val="none"/>
        <c:crossAx val="78690560"/>
        <c:crosses val="autoZero"/>
        <c:crossBetween val="between"/>
      </c:valAx>
    </c:plotArea>
    <c:legend>
      <c:legendPos val="t"/>
      <c:legendEntry>
        <c:idx val="2"/>
        <c:delete val="1"/>
      </c:legendEntry>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sz="900">
          <a:solidFill>
            <a:schemeClr val="dk1"/>
          </a:solidFill>
          <a:latin typeface="Times New Roman" pitchFamily="18" charset="0"/>
          <a:ea typeface="+mn-ea"/>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5035038095966161E-2"/>
          <c:y val="0.39461567304087086"/>
          <c:w val="0.82753510180159517"/>
          <c:h val="0.6038448318960139"/>
        </c:manualLayout>
      </c:layout>
      <c:pie3DChart>
        <c:varyColors val="1"/>
        <c:ser>
          <c:idx val="0"/>
          <c:order val="0"/>
          <c:tx>
            <c:strRef>
              <c:f>Лист1!$B$1</c:f>
              <c:strCache>
                <c:ptCount val="1"/>
                <c:pt idx="0">
                  <c:v>Частка ВК за групами банків, на1.01.2017 р. (%)</c:v>
                </c:pt>
              </c:strCache>
            </c:strRef>
          </c:tx>
          <c:explosion val="30"/>
          <c:dPt>
            <c:idx val="0"/>
            <c:bubble3D val="0"/>
            <c:explosion val="21"/>
            <c:extLst xmlns:c16r2="http://schemas.microsoft.com/office/drawing/2015/06/chart">
              <c:ext xmlns:c16="http://schemas.microsoft.com/office/drawing/2014/chart" uri="{C3380CC4-5D6E-409C-BE32-E72D297353CC}">
                <c16:uniqueId val="{00000000-E198-47D8-B45F-A0A1A739BCBD}"/>
              </c:ext>
            </c:extLst>
          </c:dPt>
          <c:dPt>
            <c:idx val="1"/>
            <c:bubble3D val="0"/>
            <c:explosion val="7"/>
            <c:extLst xmlns:c16r2="http://schemas.microsoft.com/office/drawing/2015/06/chart">
              <c:ext xmlns:c16="http://schemas.microsoft.com/office/drawing/2014/chart" uri="{C3380CC4-5D6E-409C-BE32-E72D297353CC}">
                <c16:uniqueId val="{00000001-E198-47D8-B45F-A0A1A739BCBD}"/>
              </c:ext>
            </c:extLst>
          </c:dPt>
          <c:dPt>
            <c:idx val="2"/>
            <c:bubble3D val="0"/>
            <c:explosion val="0"/>
            <c:extLst xmlns:c16r2="http://schemas.microsoft.com/office/drawing/2015/06/chart">
              <c:ext xmlns:c16="http://schemas.microsoft.com/office/drawing/2014/chart" uri="{C3380CC4-5D6E-409C-BE32-E72D297353CC}">
                <c16:uniqueId val="{00000002-E198-47D8-B45F-A0A1A739BCBD}"/>
              </c:ext>
            </c:extLst>
          </c:dPt>
          <c:dLbls>
            <c:dLbl>
              <c:idx val="0"/>
              <c:layout>
                <c:manualLayout>
                  <c:x val="9.1478395297675208E-2"/>
                  <c:y val="0.10976661112381718"/>
                </c:manualLayout>
              </c:layout>
              <c:tx>
                <c:rich>
                  <a:bodyPr/>
                  <a:lstStyle/>
                  <a:p>
                    <a:r>
                      <a:rPr lang="ru-RU" sz="1050"/>
                      <a:t>Б</a:t>
                    </a:r>
                    <a:r>
                      <a:rPr lang="ru-RU"/>
                      <a:t>анки з приватним капіталом
7,1%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198-47D8-B45F-A0A1A739BCBD}"/>
                </c:ext>
              </c:extLst>
            </c:dLbl>
            <c:dLbl>
              <c:idx val="1"/>
              <c:layout>
                <c:manualLayout>
                  <c:x val="6.738067935682808E-2"/>
                  <c:y val="8.3307875989185723E-2"/>
                </c:manualLayout>
              </c:layout>
              <c:tx>
                <c:rich>
                  <a:bodyPr/>
                  <a:lstStyle/>
                  <a:p>
                    <a:r>
                      <a:rPr lang="ru-RU" sz="1050"/>
                      <a:t>Д</a:t>
                    </a:r>
                    <a:r>
                      <a:rPr lang="ru-RU"/>
                      <a:t>ержавні </a:t>
                    </a:r>
                  </a:p>
                  <a:p>
                    <a:r>
                      <a:rPr lang="ru-RU"/>
                      <a:t>банки
44,1%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198-47D8-B45F-A0A1A739BCBD}"/>
                </c:ext>
              </c:extLst>
            </c:dLbl>
            <c:dLbl>
              <c:idx val="2"/>
              <c:layout>
                <c:manualLayout>
                  <c:x val="-1.7033016504004937E-2"/>
                  <c:y val="0.15287265440367667"/>
                </c:manualLayout>
              </c:layout>
              <c:tx>
                <c:rich>
                  <a:bodyPr/>
                  <a:lstStyle/>
                  <a:p>
                    <a:r>
                      <a:rPr lang="ru-RU" sz="1050"/>
                      <a:t>Б</a:t>
                    </a:r>
                    <a:r>
                      <a:rPr lang="ru-RU"/>
                      <a:t>анки </a:t>
                    </a:r>
                  </a:p>
                  <a:p>
                    <a:r>
                      <a:rPr lang="ru-RU"/>
                      <a:t>іноземних банківських </a:t>
                    </a:r>
                  </a:p>
                  <a:p>
                    <a:r>
                      <a:rPr lang="ru-RU"/>
                      <a:t>груп 48,8%</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198-47D8-B45F-A0A1A739BCBD}"/>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Банки з приватним капіталом</c:v>
                </c:pt>
                <c:pt idx="1">
                  <c:v>державні банки</c:v>
                </c:pt>
                <c:pt idx="2">
                  <c:v>Банки іноземних банківських груп</c:v>
                </c:pt>
              </c:strCache>
            </c:strRef>
          </c:cat>
          <c:val>
            <c:numRef>
              <c:f>Лист1!$B$2:$B$5</c:f>
              <c:numCache>
                <c:formatCode>General</c:formatCode>
                <c:ptCount val="4"/>
                <c:pt idx="0">
                  <c:v>8.2000000000000011</c:v>
                </c:pt>
                <c:pt idx="1">
                  <c:v>44</c:v>
                </c:pt>
                <c:pt idx="2">
                  <c:v>48</c:v>
                </c:pt>
              </c:numCache>
            </c:numRef>
          </c:val>
          <c:extLst xmlns:c16r2="http://schemas.microsoft.com/office/drawing/2015/06/chart">
            <c:ext xmlns:c16="http://schemas.microsoft.com/office/drawing/2014/chart" uri="{C3380CC4-5D6E-409C-BE32-E72D297353CC}">
              <c16:uniqueId val="{00000003-E198-47D8-B45F-A0A1A739BCBD}"/>
            </c:ext>
          </c:extLst>
        </c:ser>
        <c:dLbls>
          <c:showLegendKey val="0"/>
          <c:showVal val="0"/>
          <c:showCatName val="1"/>
          <c:showSerName val="0"/>
          <c:showPercent val="1"/>
          <c:showBubbleSize val="0"/>
          <c:showLeaderLines val="1"/>
        </c:dLbls>
      </c:pie3D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sz="900">
          <a:solidFill>
            <a:schemeClr val="dk1"/>
          </a:solidFill>
          <a:latin typeface="Times New Roman" pitchFamily="18" charset="0"/>
          <a:ea typeface="+mn-ea"/>
          <a:cs typeface="Times New Roman"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13545</Words>
  <Characters>7722</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46</cp:revision>
  <dcterms:created xsi:type="dcterms:W3CDTF">2018-12-29T14:13:00Z</dcterms:created>
  <dcterms:modified xsi:type="dcterms:W3CDTF">2018-12-29T18:37:00Z</dcterms:modified>
</cp:coreProperties>
</file>