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DB" w:rsidRPr="008B7DB0" w:rsidRDefault="007009DB" w:rsidP="00BC7926">
      <w:pPr>
        <w:spacing w:line="240" w:lineRule="auto"/>
        <w:ind w:firstLine="0"/>
        <w:jc w:val="left"/>
        <w:rPr>
          <w:rFonts w:ascii="Times New Roman" w:hAnsi="Times New Roman" w:cs="Times New Roman"/>
          <w:color w:val="000000" w:themeColor="text1"/>
          <w:sz w:val="20"/>
          <w:szCs w:val="20"/>
          <w:lang w:val="ru-RU"/>
        </w:rPr>
      </w:pPr>
      <w:r w:rsidRPr="008B7DB0">
        <w:rPr>
          <w:rFonts w:ascii="Times New Roman" w:hAnsi="Times New Roman" w:cs="Times New Roman"/>
          <w:color w:val="000000" w:themeColor="text1"/>
          <w:sz w:val="20"/>
          <w:szCs w:val="20"/>
          <w:lang w:val="ru-RU"/>
        </w:rPr>
        <w:t>УДК</w:t>
      </w:r>
      <w:r w:rsidR="008B7DB0">
        <w:rPr>
          <w:rFonts w:ascii="Times New Roman" w:hAnsi="Times New Roman" w:cs="Times New Roman"/>
          <w:color w:val="000000" w:themeColor="text1"/>
          <w:sz w:val="20"/>
          <w:szCs w:val="20"/>
          <w:lang w:val="ru-RU"/>
        </w:rPr>
        <w:t xml:space="preserve"> 620.92(100)(477)(045)</w:t>
      </w:r>
    </w:p>
    <w:p w:rsidR="007009DB" w:rsidRDefault="007009DB" w:rsidP="007009DB">
      <w:pPr>
        <w:spacing w:line="240" w:lineRule="auto"/>
        <w:jc w:val="right"/>
        <w:rPr>
          <w:rFonts w:ascii="Times New Roman" w:hAnsi="Times New Roman" w:cs="Times New Roman"/>
          <w:b/>
          <w:color w:val="000000" w:themeColor="text1"/>
          <w:sz w:val="20"/>
          <w:szCs w:val="20"/>
          <w:lang w:val="ru-RU"/>
        </w:rPr>
      </w:pPr>
      <w:r w:rsidRPr="007009DB">
        <w:rPr>
          <w:rFonts w:ascii="Times New Roman" w:hAnsi="Times New Roman" w:cs="Times New Roman"/>
          <w:b/>
          <w:color w:val="000000" w:themeColor="text1"/>
          <w:sz w:val="20"/>
          <w:szCs w:val="20"/>
          <w:lang w:val="ru-RU"/>
        </w:rPr>
        <w:t>НАБОК І.І.,</w:t>
      </w:r>
    </w:p>
    <w:p w:rsidR="007009DB" w:rsidRPr="007009DB" w:rsidRDefault="007009DB" w:rsidP="007009DB">
      <w:pPr>
        <w:spacing w:line="240" w:lineRule="auto"/>
        <w:jc w:val="right"/>
        <w:rPr>
          <w:rFonts w:ascii="Times New Roman" w:hAnsi="Times New Roman" w:cs="Times New Roman"/>
          <w:color w:val="000000" w:themeColor="text1"/>
          <w:sz w:val="20"/>
          <w:szCs w:val="20"/>
          <w:lang w:val="ru-RU"/>
        </w:rPr>
      </w:pPr>
      <w:proofErr w:type="spellStart"/>
      <w:r w:rsidRPr="007009DB">
        <w:rPr>
          <w:rFonts w:ascii="Times New Roman" w:hAnsi="Times New Roman" w:cs="Times New Roman"/>
          <w:color w:val="000000" w:themeColor="text1"/>
          <w:sz w:val="20"/>
          <w:szCs w:val="20"/>
          <w:lang w:val="ru-RU"/>
        </w:rPr>
        <w:t>к.е.н</w:t>
      </w:r>
      <w:proofErr w:type="spellEnd"/>
      <w:r w:rsidRPr="007009DB">
        <w:rPr>
          <w:rFonts w:ascii="Times New Roman" w:hAnsi="Times New Roman" w:cs="Times New Roman"/>
          <w:color w:val="000000" w:themeColor="text1"/>
          <w:sz w:val="20"/>
          <w:szCs w:val="20"/>
          <w:lang w:val="ru-RU"/>
        </w:rPr>
        <w:t>., доцент</w:t>
      </w:r>
    </w:p>
    <w:p w:rsidR="007009DB" w:rsidRPr="007009DB" w:rsidRDefault="007009DB" w:rsidP="007009DB">
      <w:pPr>
        <w:spacing w:line="240" w:lineRule="auto"/>
        <w:jc w:val="right"/>
        <w:rPr>
          <w:rFonts w:ascii="Times New Roman" w:hAnsi="Times New Roman" w:cs="Times New Roman"/>
          <w:color w:val="000000" w:themeColor="text1"/>
          <w:sz w:val="20"/>
          <w:szCs w:val="20"/>
          <w:lang w:val="ru-RU"/>
        </w:rPr>
      </w:pPr>
      <w:r w:rsidRPr="007009DB">
        <w:rPr>
          <w:rFonts w:ascii="Times New Roman" w:hAnsi="Times New Roman" w:cs="Times New Roman"/>
          <w:color w:val="000000" w:themeColor="text1"/>
          <w:sz w:val="20"/>
          <w:szCs w:val="20"/>
          <w:lang w:val="ru-RU"/>
        </w:rPr>
        <w:t xml:space="preserve">доцент </w:t>
      </w:r>
      <w:proofErr w:type="spellStart"/>
      <w:r w:rsidRPr="007009DB">
        <w:rPr>
          <w:rFonts w:ascii="Times New Roman" w:hAnsi="Times New Roman" w:cs="Times New Roman"/>
          <w:color w:val="000000" w:themeColor="text1"/>
          <w:sz w:val="20"/>
          <w:szCs w:val="20"/>
          <w:lang w:val="ru-RU"/>
        </w:rPr>
        <w:t>кафедри</w:t>
      </w:r>
      <w:proofErr w:type="spellEnd"/>
      <w:r w:rsidRPr="007009DB">
        <w:rPr>
          <w:rFonts w:ascii="Times New Roman" w:hAnsi="Times New Roman" w:cs="Times New Roman"/>
          <w:color w:val="000000" w:themeColor="text1"/>
          <w:sz w:val="20"/>
          <w:szCs w:val="20"/>
          <w:lang w:val="ru-RU"/>
        </w:rPr>
        <w:t xml:space="preserve"> </w:t>
      </w:r>
      <w:proofErr w:type="spellStart"/>
      <w:r w:rsidRPr="007009DB">
        <w:rPr>
          <w:rFonts w:ascii="Times New Roman" w:hAnsi="Times New Roman" w:cs="Times New Roman"/>
          <w:color w:val="000000" w:themeColor="text1"/>
          <w:sz w:val="20"/>
          <w:szCs w:val="20"/>
          <w:lang w:val="ru-RU"/>
        </w:rPr>
        <w:t>міжнародних</w:t>
      </w:r>
      <w:proofErr w:type="spellEnd"/>
      <w:r w:rsidRPr="007009DB">
        <w:rPr>
          <w:rFonts w:ascii="Times New Roman" w:hAnsi="Times New Roman" w:cs="Times New Roman"/>
          <w:color w:val="000000" w:themeColor="text1"/>
          <w:sz w:val="20"/>
          <w:szCs w:val="20"/>
          <w:lang w:val="ru-RU"/>
        </w:rPr>
        <w:t xml:space="preserve"> </w:t>
      </w:r>
      <w:proofErr w:type="spellStart"/>
      <w:r w:rsidRPr="007009DB">
        <w:rPr>
          <w:rFonts w:ascii="Times New Roman" w:hAnsi="Times New Roman" w:cs="Times New Roman"/>
          <w:color w:val="000000" w:themeColor="text1"/>
          <w:sz w:val="20"/>
          <w:szCs w:val="20"/>
          <w:lang w:val="ru-RU"/>
        </w:rPr>
        <w:t>економічних</w:t>
      </w:r>
      <w:proofErr w:type="spellEnd"/>
      <w:r w:rsidRPr="007009DB">
        <w:rPr>
          <w:rFonts w:ascii="Times New Roman" w:hAnsi="Times New Roman" w:cs="Times New Roman"/>
          <w:color w:val="000000" w:themeColor="text1"/>
          <w:sz w:val="20"/>
          <w:szCs w:val="20"/>
          <w:lang w:val="ru-RU"/>
        </w:rPr>
        <w:t xml:space="preserve"> </w:t>
      </w:r>
      <w:proofErr w:type="spellStart"/>
      <w:r w:rsidRPr="007009DB">
        <w:rPr>
          <w:rFonts w:ascii="Times New Roman" w:hAnsi="Times New Roman" w:cs="Times New Roman"/>
          <w:color w:val="000000" w:themeColor="text1"/>
          <w:sz w:val="20"/>
          <w:szCs w:val="20"/>
          <w:lang w:val="ru-RU"/>
        </w:rPr>
        <w:t>відносин</w:t>
      </w:r>
      <w:proofErr w:type="spellEnd"/>
      <w:r w:rsidRPr="007009DB">
        <w:rPr>
          <w:rFonts w:ascii="Times New Roman" w:hAnsi="Times New Roman" w:cs="Times New Roman"/>
          <w:color w:val="000000" w:themeColor="text1"/>
          <w:sz w:val="20"/>
          <w:szCs w:val="20"/>
          <w:lang w:val="ru-RU"/>
        </w:rPr>
        <w:t xml:space="preserve"> і </w:t>
      </w:r>
      <w:proofErr w:type="spellStart"/>
      <w:r w:rsidRPr="007009DB">
        <w:rPr>
          <w:rFonts w:ascii="Times New Roman" w:hAnsi="Times New Roman" w:cs="Times New Roman"/>
          <w:color w:val="000000" w:themeColor="text1"/>
          <w:sz w:val="20"/>
          <w:szCs w:val="20"/>
          <w:lang w:val="ru-RU"/>
        </w:rPr>
        <w:t>бізнесу</w:t>
      </w:r>
      <w:proofErr w:type="spellEnd"/>
    </w:p>
    <w:p w:rsidR="007009DB" w:rsidRPr="007009DB" w:rsidRDefault="007009DB" w:rsidP="007009DB">
      <w:pPr>
        <w:spacing w:line="240" w:lineRule="auto"/>
        <w:jc w:val="right"/>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Факультету</w:t>
      </w:r>
      <w:r w:rsidRPr="007009DB">
        <w:rPr>
          <w:rFonts w:ascii="Times New Roman" w:hAnsi="Times New Roman" w:cs="Times New Roman"/>
          <w:color w:val="000000" w:themeColor="text1"/>
          <w:sz w:val="20"/>
          <w:szCs w:val="20"/>
          <w:lang w:val="ru-RU"/>
        </w:rPr>
        <w:t xml:space="preserve"> </w:t>
      </w:r>
      <w:proofErr w:type="spellStart"/>
      <w:proofErr w:type="gramStart"/>
      <w:r w:rsidRPr="007009DB">
        <w:rPr>
          <w:rFonts w:ascii="Times New Roman" w:hAnsi="Times New Roman" w:cs="Times New Roman"/>
          <w:color w:val="000000" w:themeColor="text1"/>
          <w:sz w:val="20"/>
          <w:szCs w:val="20"/>
          <w:lang w:val="ru-RU"/>
        </w:rPr>
        <w:t>м</w:t>
      </w:r>
      <w:proofErr w:type="gramEnd"/>
      <w:r w:rsidRPr="007009DB">
        <w:rPr>
          <w:rFonts w:ascii="Times New Roman" w:hAnsi="Times New Roman" w:cs="Times New Roman"/>
          <w:color w:val="000000" w:themeColor="text1"/>
          <w:sz w:val="20"/>
          <w:szCs w:val="20"/>
          <w:lang w:val="ru-RU"/>
        </w:rPr>
        <w:t>іжнародних</w:t>
      </w:r>
      <w:proofErr w:type="spellEnd"/>
      <w:r w:rsidRPr="007009DB">
        <w:rPr>
          <w:rFonts w:ascii="Times New Roman" w:hAnsi="Times New Roman" w:cs="Times New Roman"/>
          <w:color w:val="000000" w:themeColor="text1"/>
          <w:sz w:val="20"/>
          <w:szCs w:val="20"/>
          <w:lang w:val="ru-RU"/>
        </w:rPr>
        <w:t xml:space="preserve"> </w:t>
      </w:r>
      <w:proofErr w:type="spellStart"/>
      <w:r w:rsidRPr="007009DB">
        <w:rPr>
          <w:rFonts w:ascii="Times New Roman" w:hAnsi="Times New Roman" w:cs="Times New Roman"/>
          <w:color w:val="000000" w:themeColor="text1"/>
          <w:sz w:val="20"/>
          <w:szCs w:val="20"/>
          <w:lang w:val="ru-RU"/>
        </w:rPr>
        <w:t>відносин</w:t>
      </w:r>
      <w:proofErr w:type="spellEnd"/>
    </w:p>
    <w:p w:rsidR="007009DB" w:rsidRPr="007009DB" w:rsidRDefault="007009DB" w:rsidP="007009DB">
      <w:pPr>
        <w:spacing w:line="240" w:lineRule="auto"/>
        <w:jc w:val="right"/>
        <w:rPr>
          <w:rFonts w:ascii="Times New Roman" w:hAnsi="Times New Roman" w:cs="Times New Roman"/>
          <w:color w:val="000000" w:themeColor="text1"/>
          <w:sz w:val="20"/>
          <w:szCs w:val="20"/>
          <w:lang w:val="ru-RU"/>
        </w:rPr>
      </w:pPr>
      <w:proofErr w:type="spellStart"/>
      <w:r w:rsidRPr="007009DB">
        <w:rPr>
          <w:rFonts w:ascii="Times New Roman" w:hAnsi="Times New Roman" w:cs="Times New Roman"/>
          <w:color w:val="000000" w:themeColor="text1"/>
          <w:sz w:val="20"/>
          <w:szCs w:val="20"/>
          <w:lang w:val="ru-RU"/>
        </w:rPr>
        <w:t>Національного</w:t>
      </w:r>
      <w:proofErr w:type="spellEnd"/>
      <w:r w:rsidRPr="007009DB">
        <w:rPr>
          <w:rFonts w:ascii="Times New Roman" w:hAnsi="Times New Roman" w:cs="Times New Roman"/>
          <w:color w:val="000000" w:themeColor="text1"/>
          <w:sz w:val="20"/>
          <w:szCs w:val="20"/>
          <w:lang w:val="ru-RU"/>
        </w:rPr>
        <w:t xml:space="preserve"> </w:t>
      </w:r>
      <w:proofErr w:type="spellStart"/>
      <w:r w:rsidRPr="007009DB">
        <w:rPr>
          <w:rFonts w:ascii="Times New Roman" w:hAnsi="Times New Roman" w:cs="Times New Roman"/>
          <w:color w:val="000000" w:themeColor="text1"/>
          <w:sz w:val="20"/>
          <w:szCs w:val="20"/>
          <w:lang w:val="ru-RU"/>
        </w:rPr>
        <w:t>авіаційного</w:t>
      </w:r>
      <w:proofErr w:type="spellEnd"/>
      <w:r w:rsidRPr="007009DB">
        <w:rPr>
          <w:rFonts w:ascii="Times New Roman" w:hAnsi="Times New Roman" w:cs="Times New Roman"/>
          <w:color w:val="000000" w:themeColor="text1"/>
          <w:sz w:val="20"/>
          <w:szCs w:val="20"/>
          <w:lang w:val="ru-RU"/>
        </w:rPr>
        <w:t xml:space="preserve"> </w:t>
      </w:r>
      <w:proofErr w:type="spellStart"/>
      <w:r w:rsidRPr="007009DB">
        <w:rPr>
          <w:rFonts w:ascii="Times New Roman" w:hAnsi="Times New Roman" w:cs="Times New Roman"/>
          <w:color w:val="000000" w:themeColor="text1"/>
          <w:sz w:val="20"/>
          <w:szCs w:val="20"/>
          <w:lang w:val="ru-RU"/>
        </w:rPr>
        <w:t>університету</w:t>
      </w:r>
      <w:proofErr w:type="spellEnd"/>
    </w:p>
    <w:p w:rsidR="007009DB" w:rsidRPr="007009DB" w:rsidRDefault="007009DB" w:rsidP="007009DB">
      <w:pPr>
        <w:spacing w:line="240" w:lineRule="auto"/>
        <w:jc w:val="right"/>
        <w:rPr>
          <w:rFonts w:ascii="Times New Roman" w:hAnsi="Times New Roman" w:cs="Times New Roman"/>
          <w:b/>
          <w:color w:val="000000" w:themeColor="text1"/>
          <w:sz w:val="20"/>
          <w:szCs w:val="20"/>
          <w:lang w:val="ru-RU"/>
        </w:rPr>
      </w:pPr>
      <w:r w:rsidRPr="007009DB">
        <w:rPr>
          <w:rFonts w:ascii="Times New Roman" w:hAnsi="Times New Roman" w:cs="Times New Roman"/>
          <w:b/>
          <w:color w:val="000000" w:themeColor="text1"/>
          <w:sz w:val="20"/>
          <w:szCs w:val="20"/>
          <w:lang w:val="ru-RU"/>
        </w:rPr>
        <w:t>КОВТУН В.О.,</w:t>
      </w:r>
    </w:p>
    <w:p w:rsidR="007009DB" w:rsidRPr="007009DB" w:rsidRDefault="007009DB" w:rsidP="007009DB">
      <w:pPr>
        <w:spacing w:line="240" w:lineRule="auto"/>
        <w:jc w:val="right"/>
        <w:rPr>
          <w:rFonts w:ascii="Times New Roman" w:hAnsi="Times New Roman" w:cs="Times New Roman"/>
          <w:color w:val="000000" w:themeColor="text1"/>
          <w:sz w:val="20"/>
          <w:szCs w:val="20"/>
          <w:lang w:val="ru-RU"/>
        </w:rPr>
      </w:pPr>
      <w:proofErr w:type="spellStart"/>
      <w:proofErr w:type="gramStart"/>
      <w:r w:rsidRPr="007009DB">
        <w:rPr>
          <w:rFonts w:ascii="Times New Roman" w:hAnsi="Times New Roman" w:cs="Times New Roman"/>
          <w:color w:val="000000" w:themeColor="text1"/>
          <w:sz w:val="20"/>
          <w:szCs w:val="20"/>
          <w:lang w:val="ru-RU"/>
        </w:rPr>
        <w:t>c</w:t>
      </w:r>
      <w:proofErr w:type="gramEnd"/>
      <w:r w:rsidRPr="007009DB">
        <w:rPr>
          <w:rFonts w:ascii="Times New Roman" w:hAnsi="Times New Roman" w:cs="Times New Roman"/>
          <w:color w:val="000000" w:themeColor="text1"/>
          <w:sz w:val="20"/>
          <w:szCs w:val="20"/>
          <w:lang w:val="ru-RU"/>
        </w:rPr>
        <w:t>тудентка</w:t>
      </w:r>
      <w:proofErr w:type="spellEnd"/>
      <w:r w:rsidRPr="007009DB">
        <w:rPr>
          <w:rFonts w:ascii="Times New Roman" w:hAnsi="Times New Roman" w:cs="Times New Roman"/>
          <w:color w:val="000000" w:themeColor="text1"/>
          <w:sz w:val="20"/>
          <w:szCs w:val="20"/>
          <w:lang w:val="ru-RU"/>
        </w:rPr>
        <w:t xml:space="preserve"> 4 курсу</w:t>
      </w:r>
    </w:p>
    <w:p w:rsidR="007009DB" w:rsidRPr="007009DB" w:rsidRDefault="007009DB" w:rsidP="007009DB">
      <w:pPr>
        <w:spacing w:line="240" w:lineRule="auto"/>
        <w:jc w:val="right"/>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Факультету</w:t>
      </w:r>
      <w:r w:rsidRPr="007009DB">
        <w:rPr>
          <w:rFonts w:ascii="Times New Roman" w:hAnsi="Times New Roman" w:cs="Times New Roman"/>
          <w:color w:val="000000" w:themeColor="text1"/>
          <w:sz w:val="20"/>
          <w:szCs w:val="20"/>
          <w:lang w:val="ru-RU"/>
        </w:rPr>
        <w:t xml:space="preserve"> </w:t>
      </w:r>
      <w:proofErr w:type="spellStart"/>
      <w:proofErr w:type="gramStart"/>
      <w:r w:rsidRPr="007009DB">
        <w:rPr>
          <w:rFonts w:ascii="Times New Roman" w:hAnsi="Times New Roman" w:cs="Times New Roman"/>
          <w:color w:val="000000" w:themeColor="text1"/>
          <w:sz w:val="20"/>
          <w:szCs w:val="20"/>
          <w:lang w:val="ru-RU"/>
        </w:rPr>
        <w:t>м</w:t>
      </w:r>
      <w:proofErr w:type="gramEnd"/>
      <w:r w:rsidRPr="007009DB">
        <w:rPr>
          <w:rFonts w:ascii="Times New Roman" w:hAnsi="Times New Roman" w:cs="Times New Roman"/>
          <w:color w:val="000000" w:themeColor="text1"/>
          <w:sz w:val="20"/>
          <w:szCs w:val="20"/>
          <w:lang w:val="ru-RU"/>
        </w:rPr>
        <w:t>іжнародних</w:t>
      </w:r>
      <w:proofErr w:type="spellEnd"/>
      <w:r w:rsidRPr="007009DB">
        <w:rPr>
          <w:rFonts w:ascii="Times New Roman" w:hAnsi="Times New Roman" w:cs="Times New Roman"/>
          <w:color w:val="000000" w:themeColor="text1"/>
          <w:sz w:val="20"/>
          <w:szCs w:val="20"/>
          <w:lang w:val="ru-RU"/>
        </w:rPr>
        <w:t xml:space="preserve"> </w:t>
      </w:r>
      <w:proofErr w:type="spellStart"/>
      <w:r w:rsidRPr="007009DB">
        <w:rPr>
          <w:rFonts w:ascii="Times New Roman" w:hAnsi="Times New Roman" w:cs="Times New Roman"/>
          <w:color w:val="000000" w:themeColor="text1"/>
          <w:sz w:val="20"/>
          <w:szCs w:val="20"/>
          <w:lang w:val="ru-RU"/>
        </w:rPr>
        <w:t>відносин</w:t>
      </w:r>
      <w:proofErr w:type="spellEnd"/>
    </w:p>
    <w:p w:rsidR="007009DB" w:rsidRDefault="007009DB" w:rsidP="007009DB">
      <w:pPr>
        <w:spacing w:line="240" w:lineRule="auto"/>
        <w:jc w:val="right"/>
        <w:rPr>
          <w:rFonts w:ascii="Times New Roman" w:hAnsi="Times New Roman" w:cs="Times New Roman"/>
          <w:color w:val="000000" w:themeColor="text1"/>
          <w:sz w:val="20"/>
          <w:szCs w:val="20"/>
          <w:lang w:val="ru-RU"/>
        </w:rPr>
      </w:pPr>
      <w:proofErr w:type="spellStart"/>
      <w:r w:rsidRPr="007009DB">
        <w:rPr>
          <w:rFonts w:ascii="Times New Roman" w:hAnsi="Times New Roman" w:cs="Times New Roman"/>
          <w:color w:val="000000" w:themeColor="text1"/>
          <w:sz w:val="20"/>
          <w:szCs w:val="20"/>
          <w:lang w:val="ru-RU"/>
        </w:rPr>
        <w:t>Національного</w:t>
      </w:r>
      <w:proofErr w:type="spellEnd"/>
      <w:r w:rsidRPr="007009DB">
        <w:rPr>
          <w:rFonts w:ascii="Times New Roman" w:hAnsi="Times New Roman" w:cs="Times New Roman"/>
          <w:color w:val="000000" w:themeColor="text1"/>
          <w:sz w:val="20"/>
          <w:szCs w:val="20"/>
          <w:lang w:val="ru-RU"/>
        </w:rPr>
        <w:t xml:space="preserve"> </w:t>
      </w:r>
      <w:proofErr w:type="spellStart"/>
      <w:r w:rsidRPr="007009DB">
        <w:rPr>
          <w:rFonts w:ascii="Times New Roman" w:hAnsi="Times New Roman" w:cs="Times New Roman"/>
          <w:color w:val="000000" w:themeColor="text1"/>
          <w:sz w:val="20"/>
          <w:szCs w:val="20"/>
          <w:lang w:val="ru-RU"/>
        </w:rPr>
        <w:t>авіаційного</w:t>
      </w:r>
      <w:proofErr w:type="spellEnd"/>
      <w:r w:rsidRPr="007009DB">
        <w:rPr>
          <w:rFonts w:ascii="Times New Roman" w:hAnsi="Times New Roman" w:cs="Times New Roman"/>
          <w:color w:val="000000" w:themeColor="text1"/>
          <w:sz w:val="20"/>
          <w:szCs w:val="20"/>
          <w:lang w:val="ru-RU"/>
        </w:rPr>
        <w:t xml:space="preserve"> </w:t>
      </w:r>
      <w:proofErr w:type="spellStart"/>
      <w:r w:rsidRPr="007009DB">
        <w:rPr>
          <w:rFonts w:ascii="Times New Roman" w:hAnsi="Times New Roman" w:cs="Times New Roman"/>
          <w:color w:val="000000" w:themeColor="text1"/>
          <w:sz w:val="20"/>
          <w:szCs w:val="20"/>
          <w:lang w:val="ru-RU"/>
        </w:rPr>
        <w:t>університету</w:t>
      </w:r>
      <w:proofErr w:type="spellEnd"/>
    </w:p>
    <w:p w:rsidR="007009DB" w:rsidRDefault="007009DB" w:rsidP="007009DB">
      <w:pPr>
        <w:spacing w:line="240" w:lineRule="auto"/>
        <w:jc w:val="center"/>
        <w:rPr>
          <w:rFonts w:ascii="Times New Roman" w:hAnsi="Times New Roman" w:cs="Times New Roman"/>
          <w:color w:val="000000" w:themeColor="text1"/>
          <w:sz w:val="20"/>
          <w:szCs w:val="20"/>
          <w:lang w:val="ru-RU"/>
        </w:rPr>
      </w:pPr>
    </w:p>
    <w:p w:rsidR="00805C05" w:rsidRDefault="00805C05" w:rsidP="007009DB">
      <w:pPr>
        <w:spacing w:line="240" w:lineRule="auto"/>
        <w:jc w:val="center"/>
        <w:rPr>
          <w:rFonts w:ascii="Times New Roman" w:hAnsi="Times New Roman" w:cs="Times New Roman"/>
          <w:b/>
          <w:color w:val="000000" w:themeColor="text1"/>
          <w:sz w:val="20"/>
          <w:szCs w:val="20"/>
          <w:lang w:val="ru-RU"/>
        </w:rPr>
      </w:pPr>
      <w:r w:rsidRPr="00F6323E">
        <w:rPr>
          <w:rFonts w:ascii="Times New Roman" w:hAnsi="Times New Roman" w:cs="Times New Roman"/>
          <w:b/>
          <w:color w:val="000000" w:themeColor="text1"/>
          <w:sz w:val="20"/>
          <w:szCs w:val="20"/>
          <w:lang w:val="ru-RU"/>
        </w:rPr>
        <w:t xml:space="preserve">СУЧАСНИЙ СТАН ТА ПЕРСПЕКТИВИ РОЗВИТКУ </w:t>
      </w:r>
      <w:proofErr w:type="gramStart"/>
      <w:r w:rsidRPr="00F6323E">
        <w:rPr>
          <w:rFonts w:ascii="Times New Roman" w:hAnsi="Times New Roman" w:cs="Times New Roman"/>
          <w:b/>
          <w:color w:val="000000" w:themeColor="text1"/>
          <w:sz w:val="20"/>
          <w:szCs w:val="20"/>
          <w:lang w:val="ru-RU"/>
        </w:rPr>
        <w:t>СВ</w:t>
      </w:r>
      <w:proofErr w:type="gramEnd"/>
      <w:r w:rsidRPr="00F6323E">
        <w:rPr>
          <w:rFonts w:ascii="Times New Roman" w:hAnsi="Times New Roman" w:cs="Times New Roman"/>
          <w:b/>
          <w:color w:val="000000" w:themeColor="text1"/>
          <w:sz w:val="20"/>
          <w:szCs w:val="20"/>
          <w:lang w:val="ru-RU"/>
        </w:rPr>
        <w:t>ІТОВОГО РИНКУ АЛЬТЕРНАТИВНОЇ ЕНЕРГЕТИКИ</w:t>
      </w:r>
    </w:p>
    <w:p w:rsidR="00805C05" w:rsidRDefault="00805C05" w:rsidP="00805C05">
      <w:pPr>
        <w:spacing w:line="240" w:lineRule="auto"/>
        <w:rPr>
          <w:rFonts w:ascii="Times New Roman" w:hAnsi="Times New Roman" w:cs="Times New Roman"/>
          <w:b/>
          <w:color w:val="000000" w:themeColor="text1"/>
          <w:sz w:val="20"/>
          <w:szCs w:val="20"/>
          <w:lang w:val="ru-RU"/>
        </w:rPr>
      </w:pPr>
    </w:p>
    <w:p w:rsidR="00805C05" w:rsidRPr="00CA302E" w:rsidRDefault="00805C05" w:rsidP="00805C05">
      <w:pPr>
        <w:spacing w:line="240" w:lineRule="auto"/>
        <w:rPr>
          <w:rFonts w:ascii="Times New Roman" w:hAnsi="Times New Roman" w:cs="Times New Roman"/>
          <w:i/>
          <w:color w:val="000000" w:themeColor="text1"/>
          <w:sz w:val="20"/>
          <w:szCs w:val="20"/>
          <w:lang w:val="ru-RU"/>
        </w:rPr>
      </w:pPr>
      <w:proofErr w:type="spellStart"/>
      <w:r w:rsidRPr="00A74D29">
        <w:rPr>
          <w:rFonts w:ascii="Times New Roman" w:hAnsi="Times New Roman" w:cs="Times New Roman"/>
          <w:b/>
          <w:i/>
          <w:color w:val="000000" w:themeColor="text1"/>
          <w:sz w:val="20"/>
          <w:szCs w:val="20"/>
          <w:lang w:val="ru-RU"/>
        </w:rPr>
        <w:t>Анотація</w:t>
      </w:r>
      <w:proofErr w:type="spellEnd"/>
      <w:r w:rsidRPr="00A74D29">
        <w:rPr>
          <w:rFonts w:ascii="Times New Roman" w:hAnsi="Times New Roman" w:cs="Times New Roman"/>
          <w:b/>
          <w:i/>
          <w:color w:val="000000" w:themeColor="text1"/>
          <w:sz w:val="20"/>
          <w:szCs w:val="20"/>
          <w:lang w:val="ru-RU"/>
        </w:rPr>
        <w:t xml:space="preserve">. </w:t>
      </w:r>
      <w:r w:rsidR="00F6323E">
        <w:rPr>
          <w:rFonts w:ascii="Times New Roman" w:hAnsi="Times New Roman" w:cs="Times New Roman"/>
          <w:i/>
          <w:color w:val="000000" w:themeColor="text1"/>
          <w:sz w:val="20"/>
          <w:szCs w:val="20"/>
          <w:lang w:val="ru-RU"/>
        </w:rPr>
        <w:t>У</w:t>
      </w:r>
      <w:r w:rsidRPr="00A74D29">
        <w:rPr>
          <w:rFonts w:ascii="Times New Roman" w:hAnsi="Times New Roman" w:cs="Times New Roman"/>
          <w:i/>
          <w:color w:val="000000" w:themeColor="text1"/>
          <w:sz w:val="20"/>
          <w:szCs w:val="20"/>
          <w:lang w:val="ru-RU"/>
        </w:rPr>
        <w:t xml:space="preserve"> </w:t>
      </w:r>
      <w:proofErr w:type="spellStart"/>
      <w:r w:rsidRPr="00A74D29">
        <w:rPr>
          <w:rFonts w:ascii="Times New Roman" w:hAnsi="Times New Roman" w:cs="Times New Roman"/>
          <w:i/>
          <w:color w:val="000000" w:themeColor="text1"/>
          <w:sz w:val="20"/>
          <w:szCs w:val="20"/>
          <w:lang w:val="ru-RU"/>
        </w:rPr>
        <w:t>статті</w:t>
      </w:r>
      <w:proofErr w:type="spellEnd"/>
      <w:r w:rsidRPr="00A74D29">
        <w:rPr>
          <w:rFonts w:ascii="Times New Roman" w:hAnsi="Times New Roman" w:cs="Times New Roman"/>
          <w:i/>
          <w:color w:val="000000" w:themeColor="text1"/>
          <w:sz w:val="20"/>
          <w:szCs w:val="20"/>
          <w:lang w:val="ru-RU"/>
        </w:rPr>
        <w:t xml:space="preserve"> </w:t>
      </w:r>
      <w:proofErr w:type="spellStart"/>
      <w:r w:rsidRPr="00A74D29">
        <w:rPr>
          <w:rFonts w:ascii="Times New Roman" w:hAnsi="Times New Roman" w:cs="Times New Roman"/>
          <w:i/>
          <w:color w:val="000000" w:themeColor="text1"/>
          <w:sz w:val="20"/>
          <w:szCs w:val="20"/>
          <w:lang w:val="ru-RU"/>
        </w:rPr>
        <w:t>проаналізовано</w:t>
      </w:r>
      <w:proofErr w:type="spellEnd"/>
      <w:r w:rsidRPr="00A74D29">
        <w:rPr>
          <w:rFonts w:ascii="Times New Roman" w:hAnsi="Times New Roman" w:cs="Times New Roman"/>
          <w:i/>
          <w:color w:val="000000" w:themeColor="text1"/>
          <w:sz w:val="20"/>
          <w:szCs w:val="20"/>
          <w:lang w:val="ru-RU"/>
        </w:rPr>
        <w:t xml:space="preserve"> </w:t>
      </w:r>
      <w:proofErr w:type="spellStart"/>
      <w:r w:rsidRPr="00A74D29">
        <w:rPr>
          <w:rFonts w:ascii="Times New Roman" w:hAnsi="Times New Roman" w:cs="Times New Roman"/>
          <w:i/>
          <w:color w:val="000000" w:themeColor="text1"/>
          <w:sz w:val="20"/>
          <w:szCs w:val="20"/>
          <w:lang w:val="ru-RU"/>
        </w:rPr>
        <w:t>сучасний</w:t>
      </w:r>
      <w:proofErr w:type="spellEnd"/>
      <w:r w:rsidRPr="00A74D29">
        <w:rPr>
          <w:rFonts w:ascii="Times New Roman" w:hAnsi="Times New Roman" w:cs="Times New Roman"/>
          <w:i/>
          <w:color w:val="000000" w:themeColor="text1"/>
          <w:sz w:val="20"/>
          <w:szCs w:val="20"/>
          <w:lang w:val="ru-RU"/>
        </w:rPr>
        <w:t xml:space="preserve"> стан ринку </w:t>
      </w:r>
      <w:proofErr w:type="spellStart"/>
      <w:r w:rsidRPr="00A74D29">
        <w:rPr>
          <w:rFonts w:ascii="Times New Roman" w:hAnsi="Times New Roman" w:cs="Times New Roman"/>
          <w:i/>
          <w:color w:val="000000" w:themeColor="text1"/>
          <w:sz w:val="20"/>
          <w:szCs w:val="20"/>
          <w:lang w:val="ru-RU"/>
        </w:rPr>
        <w:t>альтернативної</w:t>
      </w:r>
      <w:proofErr w:type="spellEnd"/>
      <w:r w:rsidRPr="00A74D29">
        <w:rPr>
          <w:rFonts w:ascii="Times New Roman" w:hAnsi="Times New Roman" w:cs="Times New Roman"/>
          <w:i/>
          <w:color w:val="000000" w:themeColor="text1"/>
          <w:sz w:val="20"/>
          <w:szCs w:val="20"/>
          <w:lang w:val="ru-RU"/>
        </w:rPr>
        <w:t xml:space="preserve"> </w:t>
      </w:r>
      <w:proofErr w:type="spellStart"/>
      <w:r w:rsidRPr="00A74D29">
        <w:rPr>
          <w:rFonts w:ascii="Times New Roman" w:hAnsi="Times New Roman" w:cs="Times New Roman"/>
          <w:i/>
          <w:color w:val="000000" w:themeColor="text1"/>
          <w:sz w:val="20"/>
          <w:szCs w:val="20"/>
          <w:lang w:val="ru-RU"/>
        </w:rPr>
        <w:t>енергетики</w:t>
      </w:r>
      <w:proofErr w:type="spellEnd"/>
      <w:r w:rsidRPr="00A74D29">
        <w:rPr>
          <w:rFonts w:ascii="Times New Roman" w:hAnsi="Times New Roman" w:cs="Times New Roman"/>
          <w:i/>
          <w:color w:val="000000" w:themeColor="text1"/>
          <w:sz w:val="20"/>
          <w:szCs w:val="20"/>
          <w:lang w:val="ru-RU"/>
        </w:rPr>
        <w:t xml:space="preserve"> у </w:t>
      </w:r>
      <w:proofErr w:type="spellStart"/>
      <w:proofErr w:type="gramStart"/>
      <w:r w:rsidRPr="00A74D29">
        <w:rPr>
          <w:rFonts w:ascii="Times New Roman" w:hAnsi="Times New Roman" w:cs="Times New Roman"/>
          <w:i/>
          <w:color w:val="000000" w:themeColor="text1"/>
          <w:sz w:val="20"/>
          <w:szCs w:val="20"/>
          <w:lang w:val="ru-RU"/>
        </w:rPr>
        <w:t>св</w:t>
      </w:r>
      <w:proofErr w:type="gramEnd"/>
      <w:r w:rsidRPr="00A74D29">
        <w:rPr>
          <w:rFonts w:ascii="Times New Roman" w:hAnsi="Times New Roman" w:cs="Times New Roman"/>
          <w:i/>
          <w:color w:val="000000" w:themeColor="text1"/>
          <w:sz w:val="20"/>
          <w:szCs w:val="20"/>
          <w:lang w:val="ru-RU"/>
        </w:rPr>
        <w:t>іті</w:t>
      </w:r>
      <w:proofErr w:type="spellEnd"/>
      <w:r w:rsidRPr="00A74D29">
        <w:rPr>
          <w:rFonts w:ascii="Times New Roman" w:hAnsi="Times New Roman" w:cs="Times New Roman"/>
          <w:i/>
          <w:color w:val="000000" w:themeColor="text1"/>
          <w:sz w:val="20"/>
          <w:szCs w:val="20"/>
          <w:lang w:val="ru-RU"/>
        </w:rPr>
        <w:t xml:space="preserve"> та в </w:t>
      </w:r>
      <w:proofErr w:type="spellStart"/>
      <w:r w:rsidRPr="00A74D29">
        <w:rPr>
          <w:rFonts w:ascii="Times New Roman" w:hAnsi="Times New Roman" w:cs="Times New Roman"/>
          <w:i/>
          <w:color w:val="000000" w:themeColor="text1"/>
          <w:sz w:val="20"/>
          <w:szCs w:val="20"/>
          <w:lang w:val="ru-RU"/>
        </w:rPr>
        <w:t>Україні</w:t>
      </w:r>
      <w:proofErr w:type="spellEnd"/>
      <w:r w:rsidRPr="00A74D29">
        <w:rPr>
          <w:rFonts w:ascii="Times New Roman" w:hAnsi="Times New Roman" w:cs="Times New Roman"/>
          <w:i/>
          <w:color w:val="000000" w:themeColor="text1"/>
          <w:sz w:val="20"/>
          <w:szCs w:val="20"/>
          <w:lang w:val="ru-RU"/>
        </w:rPr>
        <w:t xml:space="preserve">, </w:t>
      </w:r>
      <w:proofErr w:type="spellStart"/>
      <w:r w:rsidR="00A74D29" w:rsidRPr="00A74D29">
        <w:rPr>
          <w:rFonts w:ascii="Times New Roman" w:hAnsi="Times New Roman" w:cs="Times New Roman"/>
          <w:i/>
          <w:color w:val="000000" w:themeColor="text1"/>
          <w:sz w:val="20"/>
          <w:szCs w:val="20"/>
          <w:lang w:val="ru-RU"/>
        </w:rPr>
        <w:t>окреслено</w:t>
      </w:r>
      <w:proofErr w:type="spellEnd"/>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його</w:t>
      </w:r>
      <w:proofErr w:type="spellEnd"/>
      <w:r w:rsidR="00A74D29" w:rsidRPr="00A74D29">
        <w:rPr>
          <w:rFonts w:ascii="Times New Roman" w:hAnsi="Times New Roman" w:cs="Times New Roman"/>
          <w:i/>
          <w:color w:val="000000" w:themeColor="text1"/>
          <w:sz w:val="20"/>
          <w:szCs w:val="20"/>
          <w:lang w:val="ru-RU"/>
        </w:rPr>
        <w:t xml:space="preserve"> </w:t>
      </w:r>
      <w:proofErr w:type="spellStart"/>
      <w:r w:rsidR="00A74D29" w:rsidRPr="00A74D29">
        <w:rPr>
          <w:rFonts w:ascii="Times New Roman" w:hAnsi="Times New Roman" w:cs="Times New Roman"/>
          <w:i/>
          <w:color w:val="000000" w:themeColor="text1"/>
          <w:sz w:val="20"/>
          <w:szCs w:val="20"/>
          <w:lang w:val="ru-RU"/>
        </w:rPr>
        <w:t>особливості</w:t>
      </w:r>
      <w:proofErr w:type="spellEnd"/>
      <w:r w:rsidR="00A74D29" w:rsidRPr="00A74D29">
        <w:rPr>
          <w:rFonts w:ascii="Times New Roman" w:hAnsi="Times New Roman" w:cs="Times New Roman"/>
          <w:i/>
          <w:color w:val="000000" w:themeColor="text1"/>
          <w:sz w:val="20"/>
          <w:szCs w:val="20"/>
          <w:lang w:val="ru-RU"/>
        </w:rPr>
        <w:t xml:space="preserve"> та </w:t>
      </w:r>
      <w:proofErr w:type="spellStart"/>
      <w:r w:rsidR="00A74D29" w:rsidRPr="00A74D29">
        <w:rPr>
          <w:rFonts w:ascii="Times New Roman" w:hAnsi="Times New Roman" w:cs="Times New Roman"/>
          <w:i/>
          <w:color w:val="000000" w:themeColor="text1"/>
          <w:sz w:val="20"/>
          <w:szCs w:val="20"/>
          <w:lang w:val="ru-RU"/>
        </w:rPr>
        <w:t>перспективи</w:t>
      </w:r>
      <w:proofErr w:type="spellEnd"/>
      <w:r w:rsidR="00A74D29" w:rsidRPr="00A74D29">
        <w:rPr>
          <w:rFonts w:ascii="Times New Roman" w:hAnsi="Times New Roman" w:cs="Times New Roman"/>
          <w:i/>
          <w:color w:val="000000" w:themeColor="text1"/>
          <w:sz w:val="20"/>
          <w:szCs w:val="20"/>
          <w:lang w:val="ru-RU"/>
        </w:rPr>
        <w:t xml:space="preserve"> </w:t>
      </w:r>
      <w:proofErr w:type="spellStart"/>
      <w:r w:rsidR="00A74D29" w:rsidRPr="00A74D29">
        <w:rPr>
          <w:rFonts w:ascii="Times New Roman" w:hAnsi="Times New Roman" w:cs="Times New Roman"/>
          <w:i/>
          <w:color w:val="000000" w:themeColor="text1"/>
          <w:sz w:val="20"/>
          <w:szCs w:val="20"/>
          <w:lang w:val="ru-RU"/>
        </w:rPr>
        <w:t>розвитку</w:t>
      </w:r>
      <w:proofErr w:type="spellEnd"/>
      <w:r w:rsidR="00A74D29" w:rsidRPr="00A74D29">
        <w:rPr>
          <w:rFonts w:ascii="Times New Roman" w:hAnsi="Times New Roman" w:cs="Times New Roman"/>
          <w:i/>
          <w:color w:val="000000" w:themeColor="text1"/>
          <w:sz w:val="20"/>
          <w:szCs w:val="20"/>
          <w:lang w:val="ru-RU"/>
        </w:rPr>
        <w:t xml:space="preserve">, </w:t>
      </w:r>
      <w:proofErr w:type="spellStart"/>
      <w:r w:rsidRPr="00A74D29">
        <w:rPr>
          <w:rFonts w:ascii="Times New Roman" w:hAnsi="Times New Roman" w:cs="Times New Roman"/>
          <w:i/>
          <w:color w:val="000000" w:themeColor="text1"/>
          <w:sz w:val="20"/>
          <w:szCs w:val="20"/>
          <w:lang w:val="ru-RU"/>
        </w:rPr>
        <w:t>досліджено</w:t>
      </w:r>
      <w:proofErr w:type="spellEnd"/>
      <w:r w:rsidRPr="00A74D29">
        <w:rPr>
          <w:rFonts w:ascii="Times New Roman" w:hAnsi="Times New Roman" w:cs="Times New Roman"/>
          <w:i/>
          <w:color w:val="000000" w:themeColor="text1"/>
          <w:sz w:val="20"/>
          <w:szCs w:val="20"/>
          <w:lang w:val="ru-RU"/>
        </w:rPr>
        <w:t xml:space="preserve"> </w:t>
      </w:r>
      <w:proofErr w:type="spellStart"/>
      <w:r w:rsidR="00CA302E" w:rsidRPr="00CA302E">
        <w:rPr>
          <w:rFonts w:ascii="Times New Roman" w:hAnsi="Times New Roman" w:cs="Times New Roman"/>
          <w:i/>
          <w:color w:val="000000" w:themeColor="text1"/>
          <w:sz w:val="20"/>
          <w:szCs w:val="20"/>
          <w:lang w:val="ru-RU"/>
        </w:rPr>
        <w:t>механізми</w:t>
      </w:r>
      <w:proofErr w:type="spellEnd"/>
      <w:r w:rsidRPr="00A74D29">
        <w:rPr>
          <w:rFonts w:ascii="Times New Roman" w:hAnsi="Times New Roman" w:cs="Times New Roman"/>
          <w:i/>
          <w:color w:val="000000" w:themeColor="text1"/>
          <w:sz w:val="20"/>
          <w:szCs w:val="20"/>
          <w:lang w:val="ru-RU"/>
        </w:rPr>
        <w:t xml:space="preserve"> </w:t>
      </w:r>
      <w:proofErr w:type="spellStart"/>
      <w:r w:rsidRPr="00A74D29">
        <w:rPr>
          <w:rFonts w:ascii="Times New Roman" w:hAnsi="Times New Roman" w:cs="Times New Roman"/>
          <w:i/>
          <w:color w:val="000000" w:themeColor="text1"/>
          <w:sz w:val="20"/>
          <w:szCs w:val="20"/>
          <w:lang w:val="ru-RU"/>
        </w:rPr>
        <w:t>ефективного</w:t>
      </w:r>
      <w:proofErr w:type="spellEnd"/>
      <w:r w:rsidRPr="00A74D29">
        <w:rPr>
          <w:rFonts w:ascii="Times New Roman" w:hAnsi="Times New Roman" w:cs="Times New Roman"/>
          <w:i/>
          <w:color w:val="000000" w:themeColor="text1"/>
          <w:sz w:val="20"/>
          <w:szCs w:val="20"/>
          <w:lang w:val="ru-RU"/>
        </w:rPr>
        <w:t xml:space="preserve"> державного </w:t>
      </w:r>
      <w:proofErr w:type="spellStart"/>
      <w:r w:rsidRPr="00A74D29">
        <w:rPr>
          <w:rFonts w:ascii="Times New Roman" w:hAnsi="Times New Roman" w:cs="Times New Roman"/>
          <w:i/>
          <w:color w:val="000000" w:themeColor="text1"/>
          <w:sz w:val="20"/>
          <w:szCs w:val="20"/>
          <w:lang w:val="ru-RU"/>
        </w:rPr>
        <w:t>регулювання</w:t>
      </w:r>
      <w:proofErr w:type="spellEnd"/>
      <w:r w:rsidRPr="00A74D29">
        <w:rPr>
          <w:rFonts w:ascii="Times New Roman" w:hAnsi="Times New Roman" w:cs="Times New Roman"/>
          <w:i/>
          <w:color w:val="000000" w:themeColor="text1"/>
          <w:sz w:val="20"/>
          <w:szCs w:val="20"/>
          <w:lang w:val="ru-RU"/>
        </w:rPr>
        <w:t xml:space="preserve"> ринку</w:t>
      </w:r>
      <w:r w:rsidR="00A74D29" w:rsidRPr="00A74D29">
        <w:rPr>
          <w:rFonts w:ascii="Times New Roman" w:hAnsi="Times New Roman" w:cs="Times New Roman"/>
          <w:i/>
          <w:color w:val="000000" w:themeColor="text1"/>
          <w:sz w:val="20"/>
          <w:szCs w:val="20"/>
          <w:lang w:val="ru-RU"/>
        </w:rPr>
        <w:t xml:space="preserve"> на </w:t>
      </w:r>
      <w:proofErr w:type="spellStart"/>
      <w:r w:rsidR="00A74D29" w:rsidRPr="00A74D29">
        <w:rPr>
          <w:rFonts w:ascii="Times New Roman" w:hAnsi="Times New Roman" w:cs="Times New Roman"/>
          <w:i/>
          <w:color w:val="000000" w:themeColor="text1"/>
          <w:sz w:val="20"/>
          <w:szCs w:val="20"/>
          <w:lang w:val="ru-RU"/>
        </w:rPr>
        <w:t>прикладі</w:t>
      </w:r>
      <w:proofErr w:type="spellEnd"/>
      <w:r w:rsidR="00A74D29" w:rsidRPr="00A74D29">
        <w:rPr>
          <w:rFonts w:ascii="Times New Roman" w:hAnsi="Times New Roman" w:cs="Times New Roman"/>
          <w:i/>
          <w:color w:val="000000" w:themeColor="text1"/>
          <w:sz w:val="20"/>
          <w:szCs w:val="20"/>
          <w:lang w:val="ru-RU"/>
        </w:rPr>
        <w:t xml:space="preserve"> Китаю та </w:t>
      </w:r>
      <w:proofErr w:type="spellStart"/>
      <w:r w:rsidR="00A74D29" w:rsidRPr="00A74D29">
        <w:rPr>
          <w:rFonts w:ascii="Times New Roman" w:hAnsi="Times New Roman" w:cs="Times New Roman"/>
          <w:i/>
          <w:color w:val="000000" w:themeColor="text1"/>
          <w:sz w:val="20"/>
          <w:szCs w:val="20"/>
          <w:lang w:val="ru-RU"/>
        </w:rPr>
        <w:t>країн</w:t>
      </w:r>
      <w:proofErr w:type="spellEnd"/>
      <w:r w:rsidR="00A74D29" w:rsidRPr="00A74D29">
        <w:rPr>
          <w:rFonts w:ascii="Times New Roman" w:hAnsi="Times New Roman" w:cs="Times New Roman"/>
          <w:i/>
          <w:color w:val="000000" w:themeColor="text1"/>
          <w:sz w:val="20"/>
          <w:szCs w:val="20"/>
          <w:lang w:val="ru-RU"/>
        </w:rPr>
        <w:t xml:space="preserve"> ЄС</w:t>
      </w:r>
      <w:r w:rsidR="00CA302E">
        <w:rPr>
          <w:rFonts w:ascii="Times New Roman" w:hAnsi="Times New Roman" w:cs="Times New Roman"/>
          <w:i/>
          <w:color w:val="000000" w:themeColor="text1"/>
          <w:sz w:val="20"/>
          <w:szCs w:val="20"/>
          <w:lang w:val="ru-RU"/>
        </w:rPr>
        <w:t xml:space="preserve">. На </w:t>
      </w:r>
      <w:proofErr w:type="spellStart"/>
      <w:r w:rsidR="00CA302E">
        <w:rPr>
          <w:rFonts w:ascii="Times New Roman" w:hAnsi="Times New Roman" w:cs="Times New Roman"/>
          <w:i/>
          <w:color w:val="000000" w:themeColor="text1"/>
          <w:sz w:val="20"/>
          <w:szCs w:val="20"/>
          <w:lang w:val="ru-RU"/>
        </w:rPr>
        <w:t>основі</w:t>
      </w:r>
      <w:proofErr w:type="spellEnd"/>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даних</w:t>
      </w:r>
      <w:proofErr w:type="spellEnd"/>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визначено</w:t>
      </w:r>
      <w:proofErr w:type="spellEnd"/>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основні</w:t>
      </w:r>
      <w:proofErr w:type="spellEnd"/>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проблеми</w:t>
      </w:r>
      <w:proofErr w:type="spellEnd"/>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впровадження</w:t>
      </w:r>
      <w:proofErr w:type="spellEnd"/>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відновлювальних</w:t>
      </w:r>
      <w:proofErr w:type="spellEnd"/>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джерел</w:t>
      </w:r>
      <w:proofErr w:type="spellEnd"/>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енергії</w:t>
      </w:r>
      <w:proofErr w:type="spellEnd"/>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паливно-енергетичного</w:t>
      </w:r>
      <w:proofErr w:type="spellEnd"/>
      <w:r w:rsidR="00CA302E">
        <w:rPr>
          <w:rFonts w:ascii="Times New Roman" w:hAnsi="Times New Roman" w:cs="Times New Roman"/>
          <w:i/>
          <w:color w:val="000000" w:themeColor="text1"/>
          <w:sz w:val="20"/>
          <w:szCs w:val="20"/>
          <w:lang w:val="ru-RU"/>
        </w:rPr>
        <w:t xml:space="preserve"> балансу </w:t>
      </w:r>
      <w:proofErr w:type="spellStart"/>
      <w:r w:rsidR="00CA302E">
        <w:rPr>
          <w:rFonts w:ascii="Times New Roman" w:hAnsi="Times New Roman" w:cs="Times New Roman"/>
          <w:i/>
          <w:color w:val="000000" w:themeColor="text1"/>
          <w:sz w:val="20"/>
          <w:szCs w:val="20"/>
          <w:lang w:val="ru-RU"/>
        </w:rPr>
        <w:t>України</w:t>
      </w:r>
      <w:proofErr w:type="spellEnd"/>
      <w:r w:rsidR="00CA302E">
        <w:rPr>
          <w:rFonts w:ascii="Times New Roman" w:hAnsi="Times New Roman" w:cs="Times New Roman"/>
          <w:i/>
          <w:color w:val="000000" w:themeColor="text1"/>
          <w:sz w:val="20"/>
          <w:szCs w:val="20"/>
          <w:lang w:val="ru-RU"/>
        </w:rPr>
        <w:t xml:space="preserve"> та </w:t>
      </w:r>
      <w:proofErr w:type="spellStart"/>
      <w:r w:rsidR="00CA302E">
        <w:rPr>
          <w:rFonts w:ascii="Times New Roman" w:hAnsi="Times New Roman" w:cs="Times New Roman"/>
          <w:i/>
          <w:color w:val="000000" w:themeColor="text1"/>
          <w:sz w:val="20"/>
          <w:szCs w:val="20"/>
          <w:lang w:val="ru-RU"/>
        </w:rPr>
        <w:t>запроновано</w:t>
      </w:r>
      <w:proofErr w:type="spellEnd"/>
      <w:r w:rsidR="00CA302E">
        <w:rPr>
          <w:rFonts w:ascii="Times New Roman" w:hAnsi="Times New Roman" w:cs="Times New Roman"/>
          <w:i/>
          <w:color w:val="000000" w:themeColor="text1"/>
          <w:sz w:val="20"/>
          <w:szCs w:val="20"/>
          <w:lang w:val="ru-RU"/>
        </w:rPr>
        <w:t xml:space="preserve"> шляхи </w:t>
      </w:r>
      <w:proofErr w:type="spellStart"/>
      <w:r w:rsidR="00CA302E">
        <w:rPr>
          <w:rFonts w:ascii="Times New Roman" w:hAnsi="Times New Roman" w:cs="Times New Roman"/>
          <w:i/>
          <w:color w:val="000000" w:themeColor="text1"/>
          <w:sz w:val="20"/>
          <w:szCs w:val="20"/>
          <w:lang w:val="ru-RU"/>
        </w:rPr>
        <w:t>їх</w:t>
      </w:r>
      <w:proofErr w:type="spellEnd"/>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вирішення</w:t>
      </w:r>
      <w:proofErr w:type="spellEnd"/>
      <w:r w:rsidR="00CA302E">
        <w:rPr>
          <w:rFonts w:ascii="Times New Roman" w:hAnsi="Times New Roman" w:cs="Times New Roman"/>
          <w:i/>
          <w:color w:val="000000" w:themeColor="text1"/>
          <w:sz w:val="20"/>
          <w:szCs w:val="20"/>
          <w:lang w:val="ru-RU"/>
        </w:rPr>
        <w:t>.</w:t>
      </w:r>
    </w:p>
    <w:p w:rsidR="00657E53" w:rsidRDefault="00657E53" w:rsidP="000F15D1">
      <w:pPr>
        <w:spacing w:line="240" w:lineRule="auto"/>
        <w:rPr>
          <w:rFonts w:ascii="Times New Roman" w:hAnsi="Times New Roman" w:cs="Times New Roman"/>
          <w:i/>
          <w:color w:val="000000" w:themeColor="text1"/>
          <w:sz w:val="20"/>
          <w:szCs w:val="20"/>
          <w:lang w:val="ru-RU"/>
        </w:rPr>
      </w:pPr>
      <w:proofErr w:type="spellStart"/>
      <w:r w:rsidRPr="00A74D29">
        <w:rPr>
          <w:rFonts w:ascii="Times New Roman" w:hAnsi="Times New Roman" w:cs="Times New Roman"/>
          <w:b/>
          <w:i/>
          <w:color w:val="000000" w:themeColor="text1"/>
          <w:sz w:val="20"/>
          <w:szCs w:val="20"/>
          <w:lang w:val="ru-RU"/>
        </w:rPr>
        <w:t>Ключові</w:t>
      </w:r>
      <w:proofErr w:type="spellEnd"/>
      <w:r w:rsidRPr="00A74D29">
        <w:rPr>
          <w:rFonts w:ascii="Times New Roman" w:hAnsi="Times New Roman" w:cs="Times New Roman"/>
          <w:b/>
          <w:i/>
          <w:color w:val="000000" w:themeColor="text1"/>
          <w:sz w:val="20"/>
          <w:szCs w:val="20"/>
          <w:lang w:val="ru-RU"/>
        </w:rPr>
        <w:t xml:space="preserve"> слова: </w:t>
      </w:r>
      <w:proofErr w:type="spellStart"/>
      <w:r w:rsidRPr="00A74D29">
        <w:rPr>
          <w:rFonts w:ascii="Times New Roman" w:hAnsi="Times New Roman" w:cs="Times New Roman"/>
          <w:i/>
          <w:color w:val="000000" w:themeColor="text1"/>
          <w:sz w:val="20"/>
          <w:szCs w:val="20"/>
          <w:lang w:val="ru-RU"/>
        </w:rPr>
        <w:t>енергое</w:t>
      </w:r>
      <w:r w:rsidR="00CA302E">
        <w:rPr>
          <w:rFonts w:ascii="Times New Roman" w:hAnsi="Times New Roman" w:cs="Times New Roman"/>
          <w:i/>
          <w:color w:val="000000" w:themeColor="text1"/>
          <w:sz w:val="20"/>
          <w:szCs w:val="20"/>
          <w:lang w:val="ru-RU"/>
        </w:rPr>
        <w:t>фективність</w:t>
      </w:r>
      <w:proofErr w:type="spellEnd"/>
      <w:r w:rsidR="00CA302E">
        <w:rPr>
          <w:rFonts w:ascii="Times New Roman" w:hAnsi="Times New Roman" w:cs="Times New Roman"/>
          <w:i/>
          <w:color w:val="000000" w:themeColor="text1"/>
          <w:sz w:val="20"/>
          <w:szCs w:val="20"/>
          <w:lang w:val="ru-RU"/>
        </w:rPr>
        <w:t xml:space="preserve">, </w:t>
      </w:r>
      <w:proofErr w:type="spellStart"/>
      <w:r w:rsidR="007009DB" w:rsidRPr="00A74D29">
        <w:rPr>
          <w:rFonts w:ascii="Times New Roman" w:hAnsi="Times New Roman" w:cs="Times New Roman"/>
          <w:i/>
          <w:color w:val="000000" w:themeColor="text1"/>
          <w:sz w:val="20"/>
          <w:szCs w:val="20"/>
          <w:lang w:val="ru-RU"/>
        </w:rPr>
        <w:t>енергетична</w:t>
      </w:r>
      <w:proofErr w:type="spellEnd"/>
      <w:r w:rsidR="007009DB" w:rsidRPr="00A74D29">
        <w:rPr>
          <w:rFonts w:ascii="Times New Roman" w:hAnsi="Times New Roman" w:cs="Times New Roman"/>
          <w:i/>
          <w:color w:val="000000" w:themeColor="text1"/>
          <w:sz w:val="20"/>
          <w:szCs w:val="20"/>
          <w:lang w:val="ru-RU"/>
        </w:rPr>
        <w:t xml:space="preserve"> </w:t>
      </w:r>
      <w:proofErr w:type="spellStart"/>
      <w:r w:rsidR="007009DB" w:rsidRPr="00A74D29">
        <w:rPr>
          <w:rFonts w:ascii="Times New Roman" w:hAnsi="Times New Roman" w:cs="Times New Roman"/>
          <w:i/>
          <w:color w:val="000000" w:themeColor="text1"/>
          <w:sz w:val="20"/>
          <w:szCs w:val="20"/>
          <w:lang w:val="ru-RU"/>
        </w:rPr>
        <w:t>безпека</w:t>
      </w:r>
      <w:proofErr w:type="spellEnd"/>
      <w:r w:rsidR="007009DB" w:rsidRPr="00A74D29">
        <w:rPr>
          <w:rFonts w:ascii="Times New Roman" w:hAnsi="Times New Roman" w:cs="Times New Roman"/>
          <w:i/>
          <w:color w:val="000000" w:themeColor="text1"/>
          <w:sz w:val="20"/>
          <w:szCs w:val="20"/>
          <w:lang w:val="ru-RU"/>
        </w:rPr>
        <w:t xml:space="preserve">, </w:t>
      </w:r>
      <w:proofErr w:type="gramStart"/>
      <w:r w:rsidR="00CA302E">
        <w:rPr>
          <w:rFonts w:ascii="Times New Roman" w:hAnsi="Times New Roman" w:cs="Times New Roman"/>
          <w:i/>
          <w:color w:val="000000" w:themeColor="text1"/>
          <w:sz w:val="20"/>
          <w:szCs w:val="20"/>
          <w:lang w:val="ru-RU"/>
        </w:rPr>
        <w:t>альтернативна</w:t>
      </w:r>
      <w:proofErr w:type="gramEnd"/>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енергетика</w:t>
      </w:r>
      <w:proofErr w:type="spellEnd"/>
      <w:r w:rsidR="00CA302E" w:rsidRPr="00A74D29">
        <w:rPr>
          <w:rFonts w:ascii="Times New Roman" w:hAnsi="Times New Roman" w:cs="Times New Roman"/>
          <w:i/>
          <w:color w:val="000000" w:themeColor="text1"/>
          <w:sz w:val="20"/>
          <w:szCs w:val="20"/>
          <w:lang w:val="ru-RU"/>
        </w:rPr>
        <w:t>,</w:t>
      </w:r>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глобальний</w:t>
      </w:r>
      <w:proofErr w:type="spellEnd"/>
      <w:r w:rsidR="00CA302E" w:rsidRPr="00A74D29">
        <w:rPr>
          <w:rFonts w:ascii="Times New Roman" w:hAnsi="Times New Roman" w:cs="Times New Roman"/>
          <w:i/>
          <w:color w:val="000000" w:themeColor="text1"/>
          <w:sz w:val="20"/>
          <w:szCs w:val="20"/>
          <w:lang w:val="ru-RU"/>
        </w:rPr>
        <w:t xml:space="preserve"> </w:t>
      </w:r>
      <w:proofErr w:type="spellStart"/>
      <w:r w:rsidRPr="00A74D29">
        <w:rPr>
          <w:rFonts w:ascii="Times New Roman" w:hAnsi="Times New Roman" w:cs="Times New Roman"/>
          <w:i/>
          <w:color w:val="000000" w:themeColor="text1"/>
          <w:sz w:val="20"/>
          <w:szCs w:val="20"/>
          <w:lang w:val="ru-RU"/>
        </w:rPr>
        <w:t>енергетичний</w:t>
      </w:r>
      <w:proofErr w:type="spellEnd"/>
      <w:r w:rsidRPr="00A74D29">
        <w:rPr>
          <w:rFonts w:ascii="Times New Roman" w:hAnsi="Times New Roman" w:cs="Times New Roman"/>
          <w:i/>
          <w:color w:val="000000" w:themeColor="text1"/>
          <w:sz w:val="20"/>
          <w:szCs w:val="20"/>
          <w:lang w:val="ru-RU"/>
        </w:rPr>
        <w:t xml:space="preserve"> </w:t>
      </w:r>
      <w:proofErr w:type="spellStart"/>
      <w:r w:rsidRPr="00A74D29">
        <w:rPr>
          <w:rFonts w:ascii="Times New Roman" w:hAnsi="Times New Roman" w:cs="Times New Roman"/>
          <w:i/>
          <w:color w:val="000000" w:themeColor="text1"/>
          <w:sz w:val="20"/>
          <w:szCs w:val="20"/>
          <w:lang w:val="ru-RU"/>
        </w:rPr>
        <w:t>ринок</w:t>
      </w:r>
      <w:proofErr w:type="spellEnd"/>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відновлювальні</w:t>
      </w:r>
      <w:proofErr w:type="spellEnd"/>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джерела</w:t>
      </w:r>
      <w:proofErr w:type="spellEnd"/>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енергії</w:t>
      </w:r>
      <w:proofErr w:type="spellEnd"/>
      <w:r w:rsidR="00CA302E">
        <w:rPr>
          <w:rFonts w:ascii="Times New Roman" w:hAnsi="Times New Roman" w:cs="Times New Roman"/>
          <w:i/>
          <w:color w:val="000000" w:themeColor="text1"/>
          <w:sz w:val="20"/>
          <w:szCs w:val="20"/>
          <w:lang w:val="ru-RU"/>
        </w:rPr>
        <w:t xml:space="preserve">, </w:t>
      </w:r>
      <w:proofErr w:type="spellStart"/>
      <w:r w:rsidR="00CA302E">
        <w:rPr>
          <w:rFonts w:ascii="Times New Roman" w:hAnsi="Times New Roman" w:cs="Times New Roman"/>
          <w:i/>
          <w:color w:val="000000" w:themeColor="text1"/>
          <w:sz w:val="20"/>
          <w:szCs w:val="20"/>
          <w:lang w:val="ru-RU"/>
        </w:rPr>
        <w:t>паливно-енергетичний</w:t>
      </w:r>
      <w:proofErr w:type="spellEnd"/>
      <w:r w:rsidR="00CA302E">
        <w:rPr>
          <w:rFonts w:ascii="Times New Roman" w:hAnsi="Times New Roman" w:cs="Times New Roman"/>
          <w:i/>
          <w:color w:val="000000" w:themeColor="text1"/>
          <w:sz w:val="20"/>
          <w:szCs w:val="20"/>
          <w:lang w:val="ru-RU"/>
        </w:rPr>
        <w:t xml:space="preserve"> баланс.</w:t>
      </w:r>
    </w:p>
    <w:p w:rsidR="005832AA" w:rsidRDefault="005832AA" w:rsidP="000F15D1">
      <w:pPr>
        <w:spacing w:line="240" w:lineRule="auto"/>
        <w:rPr>
          <w:rFonts w:ascii="Times New Roman" w:hAnsi="Times New Roman" w:cs="Times New Roman"/>
          <w:i/>
          <w:color w:val="000000" w:themeColor="text1"/>
          <w:sz w:val="20"/>
          <w:szCs w:val="20"/>
          <w:lang w:val="ru-RU"/>
        </w:rPr>
      </w:pPr>
    </w:p>
    <w:p w:rsidR="005832AA" w:rsidRPr="005832AA" w:rsidRDefault="005832AA" w:rsidP="00906F16">
      <w:pPr>
        <w:spacing w:line="240" w:lineRule="auto"/>
        <w:ind w:firstLine="0"/>
        <w:rPr>
          <w:rFonts w:ascii="Times New Roman" w:hAnsi="Times New Roman" w:cs="Times New Roman"/>
          <w:color w:val="000000" w:themeColor="text1"/>
          <w:sz w:val="20"/>
          <w:szCs w:val="20"/>
          <w:lang w:val="ru-RU"/>
        </w:rPr>
      </w:pPr>
      <w:r w:rsidRPr="005832AA">
        <w:rPr>
          <w:rFonts w:ascii="Times New Roman" w:hAnsi="Times New Roman" w:cs="Times New Roman"/>
          <w:b/>
          <w:color w:val="000000" w:themeColor="text1"/>
          <w:sz w:val="20"/>
          <w:szCs w:val="20"/>
        </w:rPr>
        <w:t>Набок И.И.</w:t>
      </w:r>
      <w:r w:rsidRPr="005832AA">
        <w:rPr>
          <w:rFonts w:ascii="Times New Roman" w:hAnsi="Times New Roman" w:cs="Times New Roman"/>
          <w:color w:val="000000" w:themeColor="text1"/>
          <w:sz w:val="20"/>
          <w:szCs w:val="20"/>
        </w:rPr>
        <w:t>,</w:t>
      </w:r>
      <w:r w:rsidRPr="005832AA">
        <w:rPr>
          <w:rFonts w:ascii="Times New Roman" w:hAnsi="Times New Roman" w:cs="Times New Roman"/>
          <w:b/>
          <w:color w:val="000000" w:themeColor="text1"/>
          <w:sz w:val="20"/>
          <w:szCs w:val="20"/>
        </w:rPr>
        <w:t xml:space="preserve"> </w:t>
      </w:r>
      <w:proofErr w:type="spellStart"/>
      <w:r w:rsidRPr="005832AA">
        <w:rPr>
          <w:rFonts w:ascii="Times New Roman" w:hAnsi="Times New Roman" w:cs="Times New Roman"/>
          <w:color w:val="000000" w:themeColor="text1"/>
          <w:sz w:val="20"/>
          <w:szCs w:val="20"/>
        </w:rPr>
        <w:t>к.э.н</w:t>
      </w:r>
      <w:proofErr w:type="spellEnd"/>
      <w:r w:rsidRPr="005832AA">
        <w:rPr>
          <w:rFonts w:ascii="Times New Roman" w:hAnsi="Times New Roman" w:cs="Times New Roman"/>
          <w:color w:val="000000" w:themeColor="text1"/>
          <w:sz w:val="20"/>
          <w:szCs w:val="20"/>
        </w:rPr>
        <w:t xml:space="preserve">., доцент, </w:t>
      </w:r>
      <w:proofErr w:type="spellStart"/>
      <w:r w:rsidRPr="005832AA">
        <w:rPr>
          <w:rFonts w:ascii="Times New Roman" w:hAnsi="Times New Roman" w:cs="Times New Roman"/>
          <w:color w:val="000000" w:themeColor="text1"/>
          <w:sz w:val="20"/>
          <w:szCs w:val="20"/>
        </w:rPr>
        <w:t>доцент</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кафедры</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международных</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экономических</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отношений</w:t>
      </w:r>
      <w:proofErr w:type="spellEnd"/>
      <w:r w:rsidRPr="005832AA">
        <w:rPr>
          <w:rFonts w:ascii="Times New Roman" w:hAnsi="Times New Roman" w:cs="Times New Roman"/>
          <w:color w:val="000000" w:themeColor="text1"/>
          <w:sz w:val="20"/>
          <w:szCs w:val="20"/>
        </w:rPr>
        <w:t xml:space="preserve"> и </w:t>
      </w:r>
      <w:proofErr w:type="spellStart"/>
      <w:r w:rsidRPr="005832AA">
        <w:rPr>
          <w:rFonts w:ascii="Times New Roman" w:hAnsi="Times New Roman" w:cs="Times New Roman"/>
          <w:color w:val="000000" w:themeColor="text1"/>
          <w:sz w:val="20"/>
          <w:szCs w:val="20"/>
        </w:rPr>
        <w:t>бизнеса</w:t>
      </w:r>
      <w:proofErr w:type="spellEnd"/>
      <w:r w:rsidRPr="005832A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ru-RU"/>
        </w:rPr>
        <w:t xml:space="preserve">факультета </w:t>
      </w:r>
      <w:proofErr w:type="spellStart"/>
      <w:r>
        <w:rPr>
          <w:rFonts w:ascii="Times New Roman" w:hAnsi="Times New Roman" w:cs="Times New Roman"/>
          <w:color w:val="000000" w:themeColor="text1"/>
          <w:sz w:val="20"/>
          <w:szCs w:val="20"/>
        </w:rPr>
        <w:t>м</w:t>
      </w:r>
      <w:r w:rsidRPr="005832AA">
        <w:rPr>
          <w:rFonts w:ascii="Times New Roman" w:hAnsi="Times New Roman" w:cs="Times New Roman"/>
          <w:color w:val="000000" w:themeColor="text1"/>
          <w:sz w:val="20"/>
          <w:szCs w:val="20"/>
        </w:rPr>
        <w:t>е</w:t>
      </w:r>
      <w:proofErr w:type="spellEnd"/>
      <w:r>
        <w:rPr>
          <w:rFonts w:ascii="Times New Roman" w:hAnsi="Times New Roman" w:cs="Times New Roman"/>
          <w:color w:val="000000" w:themeColor="text1"/>
          <w:sz w:val="20"/>
          <w:szCs w:val="20"/>
          <w:lang w:val="ru-RU"/>
        </w:rPr>
        <w:t>ж</w:t>
      </w:r>
      <w:proofErr w:type="spellStart"/>
      <w:r w:rsidRPr="005832AA">
        <w:rPr>
          <w:rFonts w:ascii="Times New Roman" w:hAnsi="Times New Roman" w:cs="Times New Roman"/>
          <w:color w:val="000000" w:themeColor="text1"/>
          <w:sz w:val="20"/>
          <w:szCs w:val="20"/>
        </w:rPr>
        <w:t>дународных</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отношений</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Национального</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авиаци</w:t>
      </w:r>
      <w:r w:rsidR="00000D28">
        <w:rPr>
          <w:rFonts w:ascii="Times New Roman" w:hAnsi="Times New Roman" w:cs="Times New Roman"/>
          <w:color w:val="000000" w:themeColor="text1"/>
          <w:sz w:val="20"/>
          <w:szCs w:val="20"/>
        </w:rPr>
        <w:t>о</w:t>
      </w:r>
      <w:r w:rsidRPr="005832AA">
        <w:rPr>
          <w:rFonts w:ascii="Times New Roman" w:hAnsi="Times New Roman" w:cs="Times New Roman"/>
          <w:color w:val="000000" w:themeColor="text1"/>
          <w:sz w:val="20"/>
          <w:szCs w:val="20"/>
        </w:rPr>
        <w:t>н</w:t>
      </w:r>
      <w:r w:rsidR="00000D28">
        <w:rPr>
          <w:rFonts w:ascii="Times New Roman" w:hAnsi="Times New Roman" w:cs="Times New Roman"/>
          <w:color w:val="000000" w:themeColor="text1"/>
          <w:sz w:val="20"/>
          <w:szCs w:val="20"/>
        </w:rPr>
        <w:t>н</w:t>
      </w:r>
      <w:r w:rsidRPr="005832AA">
        <w:rPr>
          <w:rFonts w:ascii="Times New Roman" w:hAnsi="Times New Roman" w:cs="Times New Roman"/>
          <w:color w:val="000000" w:themeColor="text1"/>
          <w:sz w:val="20"/>
          <w:szCs w:val="20"/>
        </w:rPr>
        <w:t>ого</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университета</w:t>
      </w:r>
      <w:proofErr w:type="spellEnd"/>
    </w:p>
    <w:p w:rsidR="005832AA" w:rsidRPr="005832AA" w:rsidRDefault="005832AA" w:rsidP="00906F16">
      <w:pPr>
        <w:spacing w:line="240" w:lineRule="auto"/>
        <w:ind w:firstLine="0"/>
        <w:rPr>
          <w:rFonts w:ascii="Times New Roman" w:hAnsi="Times New Roman" w:cs="Times New Roman"/>
          <w:color w:val="000000" w:themeColor="text1"/>
          <w:sz w:val="20"/>
          <w:szCs w:val="20"/>
          <w:lang w:val="ru-RU"/>
        </w:rPr>
      </w:pPr>
      <w:r w:rsidRPr="005832AA">
        <w:rPr>
          <w:rFonts w:ascii="Times New Roman" w:hAnsi="Times New Roman" w:cs="Times New Roman"/>
          <w:b/>
          <w:color w:val="000000" w:themeColor="text1"/>
          <w:sz w:val="20"/>
          <w:szCs w:val="20"/>
          <w:lang w:val="ru-RU"/>
        </w:rPr>
        <w:t>Ковтун В.О</w:t>
      </w:r>
      <w:r w:rsidRPr="005832AA">
        <w:rPr>
          <w:rFonts w:ascii="Times New Roman" w:hAnsi="Times New Roman" w:cs="Times New Roman"/>
          <w:color w:val="000000" w:themeColor="text1"/>
          <w:sz w:val="20"/>
          <w:szCs w:val="20"/>
          <w:lang w:val="ru-RU"/>
        </w:rPr>
        <w:t>.</w:t>
      </w:r>
      <w:r w:rsidRPr="005832AA">
        <w:rPr>
          <w:rFonts w:ascii="Times New Roman" w:hAnsi="Times New Roman" w:cs="Times New Roman"/>
          <w:color w:val="000000" w:themeColor="text1"/>
          <w:sz w:val="20"/>
          <w:szCs w:val="20"/>
        </w:rPr>
        <w:t xml:space="preserve">, студентка 4 </w:t>
      </w:r>
      <w:proofErr w:type="spellStart"/>
      <w:r w:rsidRPr="005832AA">
        <w:rPr>
          <w:rFonts w:ascii="Times New Roman" w:hAnsi="Times New Roman" w:cs="Times New Roman"/>
          <w:color w:val="000000" w:themeColor="text1"/>
          <w:sz w:val="20"/>
          <w:szCs w:val="20"/>
        </w:rPr>
        <w:t>курса</w:t>
      </w:r>
      <w:proofErr w:type="spellEnd"/>
      <w:r w:rsidRPr="005832AA">
        <w:rPr>
          <w:rFonts w:ascii="Times New Roman" w:hAnsi="Times New Roman" w:cs="Times New Roman"/>
          <w:color w:val="000000" w:themeColor="text1"/>
          <w:sz w:val="20"/>
          <w:szCs w:val="20"/>
        </w:rPr>
        <w:t xml:space="preserve"> </w:t>
      </w:r>
      <w:r w:rsidRPr="005832AA">
        <w:rPr>
          <w:rFonts w:ascii="Times New Roman" w:hAnsi="Times New Roman" w:cs="Times New Roman"/>
          <w:color w:val="000000" w:themeColor="text1"/>
          <w:sz w:val="20"/>
          <w:szCs w:val="20"/>
          <w:lang w:val="ru-RU"/>
        </w:rPr>
        <w:t>факультета</w:t>
      </w:r>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международных</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отношений</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Национального</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авиационного</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университета</w:t>
      </w:r>
      <w:proofErr w:type="spellEnd"/>
    </w:p>
    <w:p w:rsidR="00CA302E" w:rsidRDefault="00CA302E" w:rsidP="000F15D1">
      <w:pPr>
        <w:spacing w:line="240" w:lineRule="auto"/>
        <w:rPr>
          <w:rFonts w:ascii="Times New Roman" w:hAnsi="Times New Roman" w:cs="Times New Roman"/>
          <w:i/>
          <w:color w:val="000000" w:themeColor="text1"/>
          <w:sz w:val="20"/>
          <w:szCs w:val="20"/>
          <w:lang w:val="ru-RU"/>
        </w:rPr>
      </w:pPr>
    </w:p>
    <w:p w:rsidR="00F6323E" w:rsidRDefault="0008713C" w:rsidP="00F6323E">
      <w:pPr>
        <w:spacing w:line="240" w:lineRule="auto"/>
        <w:jc w:val="center"/>
        <w:rPr>
          <w:rFonts w:ascii="Times New Roman" w:hAnsi="Times New Roman" w:cs="Times New Roman"/>
          <w:b/>
          <w:color w:val="000000" w:themeColor="text1"/>
          <w:sz w:val="20"/>
          <w:szCs w:val="20"/>
          <w:lang w:val="ru-RU"/>
        </w:rPr>
      </w:pPr>
      <w:r w:rsidRPr="0008713C">
        <w:rPr>
          <w:rFonts w:ascii="Times New Roman" w:hAnsi="Times New Roman" w:cs="Times New Roman"/>
          <w:b/>
          <w:color w:val="000000" w:themeColor="text1"/>
          <w:sz w:val="20"/>
          <w:szCs w:val="20"/>
        </w:rPr>
        <w:t xml:space="preserve">СОВРЕМЕННОЕ СОСТОЯНИЕ И ПЕРСПЕКТИВЫ </w:t>
      </w:r>
      <w:r w:rsidR="00F6323E" w:rsidRPr="00F6323E">
        <w:rPr>
          <w:rFonts w:ascii="Times New Roman" w:hAnsi="Times New Roman" w:cs="Times New Roman"/>
          <w:b/>
          <w:color w:val="000000" w:themeColor="text1"/>
          <w:sz w:val="20"/>
          <w:szCs w:val="20"/>
          <w:lang w:val="ru-RU"/>
        </w:rPr>
        <w:t>РАЗВИТИЯ МИРОВОГО РЫНКА АЛЬТЕРНАТИВНОЙ ЭНЕРГЕТИКИ</w:t>
      </w:r>
    </w:p>
    <w:p w:rsidR="00F6323E" w:rsidRDefault="00F6323E" w:rsidP="00F6323E">
      <w:pPr>
        <w:spacing w:line="240" w:lineRule="auto"/>
        <w:jc w:val="center"/>
        <w:rPr>
          <w:rFonts w:ascii="Times New Roman" w:hAnsi="Times New Roman" w:cs="Times New Roman"/>
          <w:b/>
          <w:color w:val="000000" w:themeColor="text1"/>
          <w:sz w:val="20"/>
          <w:szCs w:val="20"/>
          <w:lang w:val="ru-RU"/>
        </w:rPr>
      </w:pPr>
    </w:p>
    <w:p w:rsidR="0008713C" w:rsidRPr="0008713C" w:rsidRDefault="0008713C" w:rsidP="0008713C">
      <w:pPr>
        <w:spacing w:line="240" w:lineRule="auto"/>
        <w:rPr>
          <w:rFonts w:ascii="Times New Roman" w:hAnsi="Times New Roman" w:cs="Times New Roman"/>
          <w:color w:val="000000" w:themeColor="text1"/>
          <w:sz w:val="20"/>
          <w:szCs w:val="20"/>
          <w:lang w:val="ru-RU"/>
        </w:rPr>
      </w:pPr>
      <w:r>
        <w:rPr>
          <w:rFonts w:ascii="Times New Roman" w:hAnsi="Times New Roman" w:cs="Times New Roman"/>
          <w:b/>
          <w:i/>
          <w:color w:val="000000" w:themeColor="text1"/>
          <w:sz w:val="20"/>
          <w:szCs w:val="20"/>
          <w:lang w:val="ru-RU"/>
        </w:rPr>
        <w:t xml:space="preserve">Аннотация. </w:t>
      </w:r>
      <w:r w:rsidRPr="005832AA">
        <w:rPr>
          <w:rFonts w:ascii="Times New Roman" w:hAnsi="Times New Roman" w:cs="Times New Roman"/>
          <w:i/>
          <w:color w:val="000000" w:themeColor="text1"/>
          <w:sz w:val="20"/>
          <w:szCs w:val="20"/>
          <w:lang w:val="ru-RU"/>
        </w:rPr>
        <w:t>В статье проанализированы современное состояние рынка альтернативной энергетики в мире и в Украине,</w:t>
      </w:r>
      <w:r w:rsidR="00F6323E" w:rsidRPr="005832AA">
        <w:rPr>
          <w:rFonts w:ascii="Times New Roman" w:hAnsi="Times New Roman" w:cs="Times New Roman"/>
          <w:b/>
          <w:i/>
          <w:color w:val="000000" w:themeColor="text1"/>
          <w:sz w:val="20"/>
          <w:szCs w:val="20"/>
          <w:lang w:val="ru-RU"/>
        </w:rPr>
        <w:t xml:space="preserve"> </w:t>
      </w:r>
      <w:r w:rsidRPr="005832AA">
        <w:rPr>
          <w:rFonts w:ascii="Times New Roman" w:hAnsi="Times New Roman" w:cs="Times New Roman"/>
          <w:i/>
          <w:color w:val="000000" w:themeColor="text1"/>
          <w:sz w:val="20"/>
          <w:szCs w:val="20"/>
          <w:lang w:val="ru-RU"/>
        </w:rPr>
        <w:t>его особенности и перспективы развития, исследованы механизмы эффективного государственного регулирования рынка на примере Китая и стран ЕС. На основе данных определены основные проблемы внедрения возобновляемых источников энергии топливно-энергетического баланса Украины и предложены пути их решения.</w:t>
      </w:r>
    </w:p>
    <w:p w:rsidR="00F6323E" w:rsidRPr="005832AA" w:rsidRDefault="0008713C" w:rsidP="0008713C">
      <w:pPr>
        <w:spacing w:line="240" w:lineRule="auto"/>
        <w:rPr>
          <w:rFonts w:ascii="Times New Roman" w:hAnsi="Times New Roman" w:cs="Times New Roman"/>
          <w:i/>
          <w:color w:val="000000" w:themeColor="text1"/>
          <w:sz w:val="20"/>
          <w:szCs w:val="20"/>
          <w:lang w:val="ru-RU"/>
        </w:rPr>
      </w:pPr>
      <w:r>
        <w:rPr>
          <w:rFonts w:ascii="Times New Roman" w:hAnsi="Times New Roman" w:cs="Times New Roman"/>
          <w:b/>
          <w:i/>
          <w:color w:val="000000" w:themeColor="text1"/>
          <w:sz w:val="20"/>
          <w:szCs w:val="20"/>
          <w:lang w:val="ru-RU"/>
        </w:rPr>
        <w:t>Ключевые слова</w:t>
      </w:r>
      <w:r w:rsidRPr="0008713C">
        <w:rPr>
          <w:rFonts w:ascii="Times New Roman" w:hAnsi="Times New Roman" w:cs="Times New Roman"/>
          <w:color w:val="000000" w:themeColor="text1"/>
          <w:sz w:val="20"/>
          <w:szCs w:val="20"/>
          <w:lang w:val="ru-RU"/>
        </w:rPr>
        <w:t xml:space="preserve">: </w:t>
      </w:r>
      <w:proofErr w:type="spellStart"/>
      <w:r w:rsidRPr="005832AA">
        <w:rPr>
          <w:rFonts w:ascii="Times New Roman" w:hAnsi="Times New Roman" w:cs="Times New Roman"/>
          <w:i/>
          <w:color w:val="000000" w:themeColor="text1"/>
          <w:sz w:val="20"/>
          <w:szCs w:val="20"/>
          <w:lang w:val="ru-RU"/>
        </w:rPr>
        <w:t>энергоэффективность</w:t>
      </w:r>
      <w:proofErr w:type="spellEnd"/>
      <w:r w:rsidRPr="005832AA">
        <w:rPr>
          <w:rFonts w:ascii="Times New Roman" w:hAnsi="Times New Roman" w:cs="Times New Roman"/>
          <w:i/>
          <w:color w:val="000000" w:themeColor="text1"/>
          <w:sz w:val="20"/>
          <w:szCs w:val="20"/>
          <w:lang w:val="ru-RU"/>
        </w:rPr>
        <w:t>, энергетическая безопасность, альтернативная энергетика, глобальный энергетический рынок, возобновляемые источники энергии, топливно-энергетический баланс.</w:t>
      </w:r>
    </w:p>
    <w:p w:rsidR="005832AA" w:rsidRDefault="005832AA" w:rsidP="0008713C">
      <w:pPr>
        <w:spacing w:line="240" w:lineRule="auto"/>
        <w:rPr>
          <w:rFonts w:ascii="Times New Roman" w:hAnsi="Times New Roman" w:cs="Times New Roman"/>
          <w:color w:val="000000" w:themeColor="text1"/>
          <w:sz w:val="20"/>
          <w:szCs w:val="20"/>
          <w:lang w:val="ru-RU"/>
        </w:rPr>
      </w:pPr>
    </w:p>
    <w:p w:rsidR="00906F16" w:rsidRDefault="005832AA" w:rsidP="00906F16">
      <w:pPr>
        <w:spacing w:line="240" w:lineRule="auto"/>
        <w:ind w:firstLine="0"/>
        <w:rPr>
          <w:rFonts w:ascii="Times New Roman" w:hAnsi="Times New Roman" w:cs="Times New Roman"/>
          <w:color w:val="000000" w:themeColor="text1"/>
          <w:sz w:val="20"/>
          <w:szCs w:val="20"/>
        </w:rPr>
      </w:pPr>
      <w:proofErr w:type="spellStart"/>
      <w:r w:rsidRPr="005832AA">
        <w:rPr>
          <w:rFonts w:ascii="Times New Roman" w:hAnsi="Times New Roman" w:cs="Times New Roman"/>
          <w:b/>
          <w:color w:val="000000" w:themeColor="text1"/>
          <w:sz w:val="20"/>
          <w:szCs w:val="20"/>
        </w:rPr>
        <w:t>Nabok</w:t>
      </w:r>
      <w:proofErr w:type="spellEnd"/>
      <w:r w:rsidRPr="005832AA">
        <w:rPr>
          <w:rFonts w:ascii="Times New Roman" w:hAnsi="Times New Roman" w:cs="Times New Roman"/>
          <w:b/>
          <w:color w:val="000000" w:themeColor="text1"/>
          <w:sz w:val="20"/>
          <w:szCs w:val="20"/>
        </w:rPr>
        <w:t xml:space="preserve"> I.I</w:t>
      </w:r>
      <w:r w:rsidRPr="005832AA">
        <w:rPr>
          <w:rFonts w:ascii="Times New Roman" w:hAnsi="Times New Roman" w:cs="Times New Roman"/>
          <w:b/>
          <w:i/>
          <w:color w:val="000000" w:themeColor="text1"/>
          <w:sz w:val="20"/>
          <w:szCs w:val="20"/>
        </w:rPr>
        <w:t xml:space="preserve">., </w:t>
      </w:r>
      <w:proofErr w:type="spellStart"/>
      <w:r w:rsidRPr="005832AA">
        <w:rPr>
          <w:rFonts w:ascii="Times New Roman" w:hAnsi="Times New Roman" w:cs="Times New Roman"/>
          <w:color w:val="000000" w:themeColor="text1"/>
          <w:sz w:val="20"/>
          <w:szCs w:val="20"/>
        </w:rPr>
        <w:t>Ph.D</w:t>
      </w:r>
      <w:proofErr w:type="spellEnd"/>
      <w:r w:rsidRPr="005832AA">
        <w:rPr>
          <w:rFonts w:ascii="Times New Roman" w:hAnsi="Times New Roman" w:cs="Times New Roman"/>
          <w:color w:val="000000" w:themeColor="text1"/>
          <w:sz w:val="20"/>
          <w:szCs w:val="20"/>
        </w:rPr>
        <w:t>. (</w:t>
      </w:r>
      <w:proofErr w:type="spellStart"/>
      <w:r w:rsidRPr="005832AA">
        <w:rPr>
          <w:rFonts w:ascii="Times New Roman" w:hAnsi="Times New Roman" w:cs="Times New Roman"/>
          <w:color w:val="000000" w:themeColor="text1"/>
          <w:sz w:val="20"/>
          <w:szCs w:val="20"/>
        </w:rPr>
        <w:t>Candidate</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of</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Sciences</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in</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Economics</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associate</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professor</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of</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the</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Department</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of</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International</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Economic</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Relations</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and</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Business</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at</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the</w:t>
      </w:r>
      <w:proofErr w:type="spellEnd"/>
      <w:r w:rsidRPr="005832A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en-US"/>
        </w:rPr>
        <w:t>Faculty</w:t>
      </w:r>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of</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International</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Relations</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of</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the</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National</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Aviation</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University</w:t>
      </w:r>
      <w:proofErr w:type="spellEnd"/>
    </w:p>
    <w:p w:rsidR="005832AA" w:rsidRPr="005832AA" w:rsidRDefault="005832AA" w:rsidP="00906F16">
      <w:pPr>
        <w:spacing w:line="240" w:lineRule="auto"/>
        <w:ind w:firstLine="0"/>
        <w:rPr>
          <w:rFonts w:ascii="Times New Roman" w:hAnsi="Times New Roman" w:cs="Times New Roman"/>
          <w:color w:val="000000" w:themeColor="text1"/>
          <w:sz w:val="20"/>
          <w:szCs w:val="20"/>
          <w:lang w:val="en-US"/>
        </w:rPr>
      </w:pPr>
      <w:proofErr w:type="spellStart"/>
      <w:r w:rsidRPr="005832AA">
        <w:rPr>
          <w:rFonts w:ascii="Times New Roman" w:hAnsi="Times New Roman" w:cs="Times New Roman"/>
          <w:b/>
          <w:color w:val="000000" w:themeColor="text1"/>
          <w:sz w:val="20"/>
          <w:szCs w:val="20"/>
          <w:lang w:val="en-US"/>
        </w:rPr>
        <w:t>Kovtun</w:t>
      </w:r>
      <w:proofErr w:type="spellEnd"/>
      <w:r w:rsidRPr="005832AA">
        <w:rPr>
          <w:rFonts w:ascii="Times New Roman" w:hAnsi="Times New Roman" w:cs="Times New Roman"/>
          <w:b/>
          <w:color w:val="000000" w:themeColor="text1"/>
          <w:sz w:val="20"/>
          <w:szCs w:val="20"/>
          <w:lang w:val="en-US"/>
        </w:rPr>
        <w:t xml:space="preserve"> V.O</w:t>
      </w:r>
      <w:r>
        <w:rPr>
          <w:rFonts w:ascii="Times New Roman" w:hAnsi="Times New Roman" w:cs="Times New Roman"/>
          <w:color w:val="000000" w:themeColor="text1"/>
          <w:sz w:val="20"/>
          <w:szCs w:val="20"/>
          <w:lang w:val="en-US"/>
        </w:rPr>
        <w:t>.</w:t>
      </w:r>
      <w:proofErr w:type="gramStart"/>
      <w:r>
        <w:rPr>
          <w:rFonts w:ascii="Times New Roman" w:hAnsi="Times New Roman" w:cs="Times New Roman"/>
          <w:color w:val="000000" w:themeColor="text1"/>
          <w:sz w:val="20"/>
          <w:szCs w:val="20"/>
          <w:lang w:val="en-US"/>
        </w:rPr>
        <w:t>,</w:t>
      </w:r>
      <w:r w:rsidRPr="005832AA">
        <w:rPr>
          <w:rFonts w:ascii="Times New Roman" w:hAnsi="Times New Roman" w:cs="Times New Roman"/>
          <w:color w:val="000000" w:themeColor="text1"/>
          <w:sz w:val="20"/>
          <w:szCs w:val="20"/>
        </w:rPr>
        <w:t>4th</w:t>
      </w:r>
      <w:proofErr w:type="gramEnd"/>
      <w:r w:rsidRPr="005832AA">
        <w:rPr>
          <w:rFonts w:ascii="Times New Roman" w:hAnsi="Times New Roman" w:cs="Times New Roman"/>
          <w:color w:val="000000" w:themeColor="text1"/>
          <w:sz w:val="20"/>
          <w:szCs w:val="20"/>
        </w:rPr>
        <w:t xml:space="preserve">-year </w:t>
      </w:r>
      <w:proofErr w:type="spellStart"/>
      <w:r w:rsidRPr="005832AA">
        <w:rPr>
          <w:rFonts w:ascii="Times New Roman" w:hAnsi="Times New Roman" w:cs="Times New Roman"/>
          <w:color w:val="000000" w:themeColor="text1"/>
          <w:sz w:val="20"/>
          <w:szCs w:val="20"/>
        </w:rPr>
        <w:t>student</w:t>
      </w:r>
      <w:proofErr w:type="spellEnd"/>
      <w:r w:rsidRPr="005832A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en-US"/>
        </w:rPr>
        <w:t xml:space="preserve">Faculty </w:t>
      </w:r>
      <w:proofErr w:type="spellStart"/>
      <w:r>
        <w:rPr>
          <w:rFonts w:ascii="Times New Roman" w:hAnsi="Times New Roman" w:cs="Times New Roman"/>
          <w:color w:val="000000" w:themeColor="text1"/>
          <w:sz w:val="20"/>
          <w:szCs w:val="20"/>
        </w:rPr>
        <w:t>of</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International</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R</w:t>
      </w:r>
      <w:r w:rsidRPr="005832AA">
        <w:rPr>
          <w:rFonts w:ascii="Times New Roman" w:hAnsi="Times New Roman" w:cs="Times New Roman"/>
          <w:color w:val="000000" w:themeColor="text1"/>
          <w:sz w:val="20"/>
          <w:szCs w:val="20"/>
        </w:rPr>
        <w:t>elations</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of</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the</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National</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Aviation</w:t>
      </w:r>
      <w:proofErr w:type="spellEnd"/>
      <w:r w:rsidRPr="005832AA">
        <w:rPr>
          <w:rFonts w:ascii="Times New Roman" w:hAnsi="Times New Roman" w:cs="Times New Roman"/>
          <w:color w:val="000000" w:themeColor="text1"/>
          <w:sz w:val="20"/>
          <w:szCs w:val="20"/>
        </w:rPr>
        <w:t xml:space="preserve"> </w:t>
      </w:r>
      <w:proofErr w:type="spellStart"/>
      <w:r w:rsidRPr="005832AA">
        <w:rPr>
          <w:rFonts w:ascii="Times New Roman" w:hAnsi="Times New Roman" w:cs="Times New Roman"/>
          <w:color w:val="000000" w:themeColor="text1"/>
          <w:sz w:val="20"/>
          <w:szCs w:val="20"/>
        </w:rPr>
        <w:t>University</w:t>
      </w:r>
      <w:proofErr w:type="spellEnd"/>
    </w:p>
    <w:p w:rsidR="0008713C" w:rsidRPr="005832AA" w:rsidRDefault="0008713C" w:rsidP="00F6323E">
      <w:pPr>
        <w:spacing w:line="240" w:lineRule="auto"/>
        <w:jc w:val="center"/>
        <w:rPr>
          <w:rFonts w:ascii="Times New Roman" w:hAnsi="Times New Roman" w:cs="Times New Roman"/>
          <w:b/>
          <w:i/>
          <w:color w:val="000000" w:themeColor="text1"/>
          <w:sz w:val="20"/>
          <w:szCs w:val="20"/>
          <w:lang w:val="en-US"/>
        </w:rPr>
      </w:pPr>
    </w:p>
    <w:p w:rsidR="005832AA" w:rsidRDefault="005832AA" w:rsidP="00F6323E">
      <w:pPr>
        <w:spacing w:line="240" w:lineRule="auto"/>
        <w:jc w:val="center"/>
        <w:rPr>
          <w:rFonts w:ascii="Times New Roman" w:hAnsi="Times New Roman" w:cs="Times New Roman"/>
          <w:b/>
          <w:color w:val="000000" w:themeColor="text1"/>
          <w:sz w:val="20"/>
          <w:szCs w:val="20"/>
          <w:lang w:val="en-US"/>
        </w:rPr>
      </w:pPr>
      <w:r w:rsidRPr="005832AA">
        <w:rPr>
          <w:rFonts w:ascii="Times New Roman" w:hAnsi="Times New Roman" w:cs="Times New Roman"/>
          <w:b/>
          <w:color w:val="000000" w:themeColor="text1"/>
          <w:sz w:val="20"/>
          <w:szCs w:val="20"/>
          <w:lang w:val="en-US"/>
        </w:rPr>
        <w:t xml:space="preserve">CURRENT STATE AND PROSPECTS </w:t>
      </w:r>
      <w:r>
        <w:rPr>
          <w:rFonts w:ascii="Times New Roman" w:hAnsi="Times New Roman" w:cs="Times New Roman"/>
          <w:b/>
          <w:color w:val="000000" w:themeColor="text1"/>
          <w:sz w:val="20"/>
          <w:szCs w:val="20"/>
          <w:lang w:val="en-US"/>
        </w:rPr>
        <w:t>OF</w:t>
      </w:r>
      <w:r w:rsidRPr="005832AA">
        <w:rPr>
          <w:rFonts w:ascii="Times New Roman" w:hAnsi="Times New Roman" w:cs="Times New Roman"/>
          <w:b/>
          <w:color w:val="000000" w:themeColor="text1"/>
          <w:sz w:val="20"/>
          <w:szCs w:val="20"/>
          <w:lang w:val="en-US"/>
        </w:rPr>
        <w:t xml:space="preserve"> THE WORLD </w:t>
      </w:r>
    </w:p>
    <w:p w:rsidR="00F6323E" w:rsidRDefault="005832AA" w:rsidP="00F6323E">
      <w:pPr>
        <w:spacing w:line="240" w:lineRule="auto"/>
        <w:jc w:val="center"/>
        <w:rPr>
          <w:rFonts w:ascii="Times New Roman" w:hAnsi="Times New Roman" w:cs="Times New Roman"/>
          <w:b/>
          <w:color w:val="000000" w:themeColor="text1"/>
          <w:sz w:val="20"/>
          <w:szCs w:val="20"/>
          <w:lang w:val="en-US"/>
        </w:rPr>
      </w:pPr>
      <w:r w:rsidRPr="005832AA">
        <w:rPr>
          <w:rFonts w:ascii="Times New Roman" w:hAnsi="Times New Roman" w:cs="Times New Roman"/>
          <w:b/>
          <w:color w:val="000000" w:themeColor="text1"/>
          <w:sz w:val="20"/>
          <w:szCs w:val="20"/>
          <w:lang w:val="en-US"/>
        </w:rPr>
        <w:t>MARKET OF ALTERNATIVE ENERGY</w:t>
      </w:r>
    </w:p>
    <w:p w:rsidR="005832AA" w:rsidRPr="005832AA" w:rsidRDefault="005832AA" w:rsidP="005832AA">
      <w:pPr>
        <w:spacing w:line="240" w:lineRule="auto"/>
        <w:rPr>
          <w:rFonts w:ascii="Times New Roman" w:hAnsi="Times New Roman" w:cs="Times New Roman"/>
          <w:b/>
          <w:i/>
          <w:color w:val="000000" w:themeColor="text1"/>
          <w:sz w:val="20"/>
          <w:szCs w:val="20"/>
          <w:lang w:val="en-US"/>
        </w:rPr>
      </w:pPr>
    </w:p>
    <w:p w:rsidR="005832AA" w:rsidRPr="005832AA" w:rsidRDefault="00F6323E" w:rsidP="005832AA">
      <w:pPr>
        <w:spacing w:line="240" w:lineRule="auto"/>
        <w:rPr>
          <w:rFonts w:ascii="Times New Roman" w:hAnsi="Times New Roman" w:cs="Times New Roman"/>
          <w:i/>
          <w:color w:val="000000" w:themeColor="text1"/>
          <w:sz w:val="20"/>
          <w:szCs w:val="20"/>
          <w:lang w:val="en-US"/>
        </w:rPr>
      </w:pPr>
      <w:proofErr w:type="gramStart"/>
      <w:r w:rsidRPr="005832AA">
        <w:rPr>
          <w:rFonts w:ascii="Times New Roman" w:hAnsi="Times New Roman" w:cs="Times New Roman"/>
          <w:b/>
          <w:i/>
          <w:color w:val="000000" w:themeColor="text1"/>
          <w:sz w:val="20"/>
          <w:szCs w:val="20"/>
          <w:lang w:val="en-US"/>
        </w:rPr>
        <w:t>Annotation.</w:t>
      </w:r>
      <w:proofErr w:type="gramEnd"/>
      <w:r w:rsidRPr="005832AA">
        <w:rPr>
          <w:rFonts w:ascii="Times New Roman" w:hAnsi="Times New Roman" w:cs="Times New Roman"/>
          <w:b/>
          <w:i/>
          <w:color w:val="000000" w:themeColor="text1"/>
          <w:sz w:val="20"/>
          <w:szCs w:val="20"/>
          <w:lang w:val="en-US"/>
        </w:rPr>
        <w:t xml:space="preserve"> </w:t>
      </w:r>
      <w:r w:rsidR="005832AA" w:rsidRPr="005832AA">
        <w:rPr>
          <w:rFonts w:ascii="Times New Roman" w:hAnsi="Times New Roman" w:cs="Times New Roman"/>
          <w:i/>
          <w:color w:val="000000" w:themeColor="text1"/>
          <w:sz w:val="20"/>
          <w:szCs w:val="20"/>
          <w:lang w:val="en-US"/>
        </w:rPr>
        <w:t xml:space="preserve">The article analyzes the current state of the alternative energy market in the world and in Ukraine, outlines its </w:t>
      </w:r>
      <w:r w:rsidR="00906F16">
        <w:rPr>
          <w:rFonts w:ascii="Times New Roman" w:hAnsi="Times New Roman" w:cs="Times New Roman"/>
          <w:i/>
          <w:color w:val="000000" w:themeColor="text1"/>
          <w:sz w:val="20"/>
          <w:szCs w:val="20"/>
          <w:lang w:val="en-US"/>
        </w:rPr>
        <w:t>highlights</w:t>
      </w:r>
      <w:r w:rsidR="005832AA" w:rsidRPr="005832AA">
        <w:rPr>
          <w:rFonts w:ascii="Times New Roman" w:hAnsi="Times New Roman" w:cs="Times New Roman"/>
          <w:i/>
          <w:color w:val="000000" w:themeColor="text1"/>
          <w:sz w:val="20"/>
          <w:szCs w:val="20"/>
          <w:lang w:val="en-US"/>
        </w:rPr>
        <w:t xml:space="preserve"> and </w:t>
      </w:r>
      <w:r w:rsidR="00906F16">
        <w:rPr>
          <w:rFonts w:ascii="Times New Roman" w:hAnsi="Times New Roman" w:cs="Times New Roman"/>
          <w:i/>
          <w:color w:val="000000" w:themeColor="text1"/>
          <w:sz w:val="20"/>
          <w:szCs w:val="20"/>
          <w:lang w:val="en-US"/>
        </w:rPr>
        <w:t xml:space="preserve">development prospects, </w:t>
      </w:r>
      <w:proofErr w:type="gramStart"/>
      <w:r w:rsidR="005832AA" w:rsidRPr="005832AA">
        <w:rPr>
          <w:rFonts w:ascii="Times New Roman" w:hAnsi="Times New Roman" w:cs="Times New Roman"/>
          <w:i/>
          <w:color w:val="000000" w:themeColor="text1"/>
          <w:sz w:val="20"/>
          <w:szCs w:val="20"/>
          <w:lang w:val="en-US"/>
        </w:rPr>
        <w:t>investigates</w:t>
      </w:r>
      <w:proofErr w:type="gramEnd"/>
      <w:r w:rsidR="005832AA" w:rsidRPr="005832AA">
        <w:rPr>
          <w:rFonts w:ascii="Times New Roman" w:hAnsi="Times New Roman" w:cs="Times New Roman"/>
          <w:i/>
          <w:color w:val="000000" w:themeColor="text1"/>
          <w:sz w:val="20"/>
          <w:szCs w:val="20"/>
          <w:lang w:val="en-US"/>
        </w:rPr>
        <w:t xml:space="preserve"> mechanisms of effective state regulation </w:t>
      </w:r>
      <w:r w:rsidR="00906F16" w:rsidRPr="00906F16">
        <w:rPr>
          <w:rFonts w:ascii="Times New Roman" w:hAnsi="Times New Roman" w:cs="Times New Roman"/>
          <w:i/>
          <w:color w:val="000000" w:themeColor="text1"/>
          <w:sz w:val="20"/>
          <w:szCs w:val="20"/>
          <w:lang w:val="en-US"/>
        </w:rPr>
        <w:t>in the context</w:t>
      </w:r>
      <w:r w:rsidR="00906F16">
        <w:rPr>
          <w:rFonts w:ascii="Times New Roman" w:hAnsi="Times New Roman" w:cs="Times New Roman"/>
          <w:i/>
          <w:color w:val="000000" w:themeColor="text1"/>
          <w:sz w:val="20"/>
          <w:szCs w:val="20"/>
        </w:rPr>
        <w:t xml:space="preserve"> </w:t>
      </w:r>
      <w:r w:rsidR="00906F16">
        <w:rPr>
          <w:rFonts w:ascii="Times New Roman" w:hAnsi="Times New Roman" w:cs="Times New Roman"/>
          <w:i/>
          <w:color w:val="000000" w:themeColor="text1"/>
          <w:sz w:val="20"/>
          <w:szCs w:val="20"/>
          <w:lang w:val="en-US"/>
        </w:rPr>
        <w:t>of China and EU countries. On this basis</w:t>
      </w:r>
      <w:r w:rsidR="005832AA" w:rsidRPr="005832AA">
        <w:rPr>
          <w:rFonts w:ascii="Times New Roman" w:hAnsi="Times New Roman" w:cs="Times New Roman"/>
          <w:i/>
          <w:color w:val="000000" w:themeColor="text1"/>
          <w:sz w:val="20"/>
          <w:szCs w:val="20"/>
          <w:lang w:val="en-US"/>
        </w:rPr>
        <w:t xml:space="preserve">, </w:t>
      </w:r>
      <w:r w:rsidR="00906F16">
        <w:rPr>
          <w:rFonts w:ascii="Times New Roman" w:hAnsi="Times New Roman" w:cs="Times New Roman"/>
          <w:i/>
          <w:color w:val="000000" w:themeColor="text1"/>
          <w:sz w:val="20"/>
          <w:szCs w:val="20"/>
          <w:lang w:val="en-US"/>
        </w:rPr>
        <w:t xml:space="preserve">there were determined </w:t>
      </w:r>
      <w:r w:rsidR="005832AA" w:rsidRPr="005832AA">
        <w:rPr>
          <w:rFonts w:ascii="Times New Roman" w:hAnsi="Times New Roman" w:cs="Times New Roman"/>
          <w:i/>
          <w:color w:val="000000" w:themeColor="text1"/>
          <w:sz w:val="20"/>
          <w:szCs w:val="20"/>
          <w:lang w:val="en-US"/>
        </w:rPr>
        <w:t xml:space="preserve">main problems of renewable energy sources </w:t>
      </w:r>
      <w:r w:rsidR="00906F16" w:rsidRPr="00906F16">
        <w:rPr>
          <w:rFonts w:ascii="Times New Roman" w:hAnsi="Times New Roman" w:cs="Times New Roman"/>
          <w:i/>
          <w:color w:val="000000" w:themeColor="text1"/>
          <w:sz w:val="20"/>
          <w:szCs w:val="20"/>
          <w:lang w:val="en-US"/>
        </w:rPr>
        <w:t xml:space="preserve">implementation </w:t>
      </w:r>
      <w:r w:rsidR="00906F16">
        <w:rPr>
          <w:rFonts w:ascii="Times New Roman" w:hAnsi="Times New Roman" w:cs="Times New Roman"/>
          <w:i/>
          <w:color w:val="000000" w:themeColor="text1"/>
          <w:sz w:val="20"/>
          <w:szCs w:val="20"/>
          <w:lang w:val="en-US"/>
        </w:rPr>
        <w:t>in</w:t>
      </w:r>
      <w:r w:rsidR="005832AA" w:rsidRPr="005832AA">
        <w:rPr>
          <w:rFonts w:ascii="Times New Roman" w:hAnsi="Times New Roman" w:cs="Times New Roman"/>
          <w:i/>
          <w:color w:val="000000" w:themeColor="text1"/>
          <w:sz w:val="20"/>
          <w:szCs w:val="20"/>
          <w:lang w:val="en-US"/>
        </w:rPr>
        <w:t xml:space="preserve"> Ukraine and </w:t>
      </w:r>
      <w:r w:rsidR="00906F16">
        <w:rPr>
          <w:rFonts w:ascii="Times New Roman" w:hAnsi="Times New Roman" w:cs="Times New Roman"/>
          <w:i/>
          <w:color w:val="000000" w:themeColor="text1"/>
          <w:sz w:val="20"/>
          <w:szCs w:val="20"/>
          <w:lang w:val="en-US"/>
        </w:rPr>
        <w:t>proposed</w:t>
      </w:r>
      <w:r w:rsidR="00BC7926" w:rsidRPr="00BC7926">
        <w:rPr>
          <w:rFonts w:ascii="Times New Roman" w:hAnsi="Times New Roman" w:cs="Times New Roman"/>
          <w:i/>
          <w:color w:val="000000" w:themeColor="text1"/>
          <w:sz w:val="20"/>
          <w:szCs w:val="20"/>
          <w:lang w:val="en-US"/>
        </w:rPr>
        <w:t xml:space="preserve"> </w:t>
      </w:r>
      <w:r w:rsidR="00BC7926">
        <w:rPr>
          <w:rFonts w:ascii="Times New Roman" w:hAnsi="Times New Roman" w:cs="Times New Roman"/>
          <w:i/>
          <w:color w:val="000000" w:themeColor="text1"/>
          <w:sz w:val="20"/>
          <w:szCs w:val="20"/>
          <w:lang w:val="en-US"/>
        </w:rPr>
        <w:t>solution</w:t>
      </w:r>
      <w:r w:rsidR="00906F16">
        <w:rPr>
          <w:rFonts w:ascii="Times New Roman" w:hAnsi="Times New Roman" w:cs="Times New Roman"/>
          <w:i/>
          <w:color w:val="000000" w:themeColor="text1"/>
          <w:sz w:val="20"/>
          <w:szCs w:val="20"/>
          <w:lang w:val="en-US"/>
        </w:rPr>
        <w:t xml:space="preserve"> </w:t>
      </w:r>
      <w:r w:rsidR="00BC7926">
        <w:rPr>
          <w:rFonts w:ascii="Times New Roman" w:hAnsi="Times New Roman" w:cs="Times New Roman"/>
          <w:i/>
          <w:color w:val="000000" w:themeColor="text1"/>
          <w:sz w:val="20"/>
          <w:szCs w:val="20"/>
          <w:lang w:val="en-US"/>
        </w:rPr>
        <w:t>ways</w:t>
      </w:r>
      <w:r w:rsidR="005832AA" w:rsidRPr="005832AA">
        <w:rPr>
          <w:rFonts w:ascii="Times New Roman" w:hAnsi="Times New Roman" w:cs="Times New Roman"/>
          <w:i/>
          <w:color w:val="000000" w:themeColor="text1"/>
          <w:sz w:val="20"/>
          <w:szCs w:val="20"/>
          <w:lang w:val="en-US"/>
        </w:rPr>
        <w:t>.</w:t>
      </w:r>
    </w:p>
    <w:p w:rsidR="00CA302E" w:rsidRPr="00F67EE1" w:rsidRDefault="005832AA" w:rsidP="005832AA">
      <w:pPr>
        <w:spacing w:line="240" w:lineRule="auto"/>
        <w:rPr>
          <w:rFonts w:ascii="Times New Roman" w:hAnsi="Times New Roman" w:cs="Times New Roman"/>
          <w:b/>
          <w:i/>
          <w:color w:val="000000" w:themeColor="text1"/>
          <w:sz w:val="20"/>
          <w:szCs w:val="20"/>
          <w:lang w:val="en-US"/>
        </w:rPr>
      </w:pPr>
      <w:r w:rsidRPr="005832AA">
        <w:rPr>
          <w:rFonts w:ascii="Times New Roman" w:hAnsi="Times New Roman" w:cs="Times New Roman"/>
          <w:b/>
          <w:i/>
          <w:color w:val="000000" w:themeColor="text1"/>
          <w:sz w:val="20"/>
          <w:szCs w:val="20"/>
          <w:lang w:val="en-US"/>
        </w:rPr>
        <w:t>Key words</w:t>
      </w:r>
      <w:r w:rsidRPr="005832AA">
        <w:rPr>
          <w:rFonts w:ascii="Times New Roman" w:hAnsi="Times New Roman" w:cs="Times New Roman"/>
          <w:i/>
          <w:color w:val="000000" w:themeColor="text1"/>
          <w:sz w:val="20"/>
          <w:szCs w:val="20"/>
          <w:lang w:val="en-US"/>
        </w:rPr>
        <w:t>: energy efficiency, energy security, alternative energy, global energy market, renewable energy sources, fuel and energy balance.</w:t>
      </w:r>
    </w:p>
    <w:p w:rsidR="001A64EE" w:rsidRPr="00F6323E" w:rsidRDefault="001A64EE" w:rsidP="00906F16">
      <w:pPr>
        <w:spacing w:line="240" w:lineRule="auto"/>
        <w:ind w:firstLine="0"/>
        <w:rPr>
          <w:rFonts w:ascii="Times New Roman" w:hAnsi="Times New Roman" w:cs="Times New Roman"/>
          <w:b/>
          <w:color w:val="000000" w:themeColor="text1"/>
          <w:sz w:val="20"/>
          <w:szCs w:val="20"/>
          <w:lang w:val="en-US"/>
        </w:rPr>
      </w:pPr>
    </w:p>
    <w:p w:rsidR="00B61EA7" w:rsidRPr="00657E53" w:rsidRDefault="003E5597" w:rsidP="000F15D1">
      <w:pPr>
        <w:spacing w:line="240" w:lineRule="auto"/>
        <w:rPr>
          <w:rFonts w:ascii="Times New Roman" w:hAnsi="Times New Roman" w:cs="Times New Roman"/>
          <w:color w:val="000000" w:themeColor="text1"/>
          <w:sz w:val="20"/>
          <w:szCs w:val="20"/>
        </w:rPr>
      </w:pPr>
      <w:r w:rsidRPr="00F6323E">
        <w:rPr>
          <w:rFonts w:ascii="Times New Roman" w:hAnsi="Times New Roman" w:cs="Times New Roman"/>
          <w:b/>
          <w:color w:val="000000" w:themeColor="text1"/>
          <w:sz w:val="20"/>
          <w:szCs w:val="20"/>
          <w:lang w:val="en-US"/>
        </w:rPr>
        <w:t xml:space="preserve"> </w:t>
      </w:r>
      <w:r w:rsidR="00B61EA7" w:rsidRPr="00D72EF3">
        <w:rPr>
          <w:rFonts w:ascii="Times New Roman" w:hAnsi="Times New Roman" w:cs="Times New Roman"/>
          <w:b/>
          <w:color w:val="000000" w:themeColor="text1"/>
          <w:sz w:val="20"/>
          <w:szCs w:val="20"/>
        </w:rPr>
        <w:t>Актуальність проблеми.</w:t>
      </w:r>
      <w:r w:rsidR="00D72EF3">
        <w:rPr>
          <w:rFonts w:ascii="Times New Roman" w:hAnsi="Times New Roman" w:cs="Times New Roman"/>
          <w:color w:val="000000" w:themeColor="text1"/>
          <w:sz w:val="20"/>
          <w:szCs w:val="20"/>
        </w:rPr>
        <w:t xml:space="preserve"> На сьогоднішньому етапі розвитку світового господарства </w:t>
      </w:r>
      <w:r w:rsidR="00D72EF3" w:rsidRPr="00D72EF3">
        <w:rPr>
          <w:rFonts w:ascii="Times New Roman" w:hAnsi="Times New Roman" w:cs="Times New Roman"/>
          <w:color w:val="000000" w:themeColor="text1"/>
          <w:sz w:val="20"/>
          <w:szCs w:val="20"/>
        </w:rPr>
        <w:t>важливою та однією з основних умов збереження економічної стабільності та соціальної стійкості є забезпечення енергетичної безпеки. О</w:t>
      </w:r>
      <w:r w:rsidR="00D72EF3">
        <w:rPr>
          <w:rFonts w:ascii="Times New Roman" w:hAnsi="Times New Roman" w:cs="Times New Roman"/>
          <w:color w:val="000000" w:themeColor="text1"/>
          <w:sz w:val="20"/>
          <w:szCs w:val="20"/>
        </w:rPr>
        <w:t xml:space="preserve">днак в сучасних умовах глобалізації відбувається </w:t>
      </w:r>
      <w:r w:rsidR="007E167F" w:rsidRPr="00D72EF3">
        <w:rPr>
          <w:rFonts w:ascii="Times New Roman" w:hAnsi="Times New Roman" w:cs="Times New Roman"/>
          <w:color w:val="000000" w:themeColor="text1"/>
          <w:sz w:val="20"/>
          <w:szCs w:val="20"/>
        </w:rPr>
        <w:t xml:space="preserve">трансформація енергетичних ринків. </w:t>
      </w:r>
      <w:r w:rsidR="00B61EA7" w:rsidRPr="00D72EF3">
        <w:rPr>
          <w:rFonts w:ascii="Times New Roman" w:hAnsi="Times New Roman" w:cs="Times New Roman"/>
          <w:color w:val="000000" w:themeColor="text1"/>
          <w:sz w:val="20"/>
          <w:szCs w:val="20"/>
        </w:rPr>
        <w:t>Одним з основних рушійн</w:t>
      </w:r>
      <w:r w:rsidR="00D72EF3">
        <w:rPr>
          <w:rFonts w:ascii="Times New Roman" w:hAnsi="Times New Roman" w:cs="Times New Roman"/>
          <w:color w:val="000000" w:themeColor="text1"/>
          <w:sz w:val="20"/>
          <w:szCs w:val="20"/>
        </w:rPr>
        <w:t>их мотивів розвитку енергетики на</w:t>
      </w:r>
      <w:r w:rsidR="00B61EA7" w:rsidRPr="00D72EF3">
        <w:rPr>
          <w:rFonts w:ascii="Times New Roman" w:hAnsi="Times New Roman" w:cs="Times New Roman"/>
          <w:color w:val="000000" w:themeColor="text1"/>
          <w:sz w:val="20"/>
          <w:szCs w:val="20"/>
        </w:rPr>
        <w:t xml:space="preserve"> період 2020 – 2040 рр. </w:t>
      </w:r>
      <w:r w:rsidR="00D72EF3">
        <w:rPr>
          <w:rFonts w:ascii="Times New Roman" w:hAnsi="Times New Roman" w:cs="Times New Roman"/>
          <w:color w:val="000000" w:themeColor="text1"/>
          <w:sz w:val="20"/>
          <w:szCs w:val="20"/>
        </w:rPr>
        <w:t>є</w:t>
      </w:r>
      <w:r w:rsidR="00B61EA7" w:rsidRPr="00D72EF3">
        <w:rPr>
          <w:rFonts w:ascii="Times New Roman" w:hAnsi="Times New Roman" w:cs="Times New Roman"/>
          <w:color w:val="000000" w:themeColor="text1"/>
          <w:sz w:val="20"/>
          <w:szCs w:val="20"/>
        </w:rPr>
        <w:t xml:space="preserve"> запобігання глобальним</w:t>
      </w:r>
      <w:r w:rsidR="00D72EF3">
        <w:rPr>
          <w:rFonts w:ascii="Times New Roman" w:hAnsi="Times New Roman" w:cs="Times New Roman"/>
          <w:color w:val="000000" w:themeColor="text1"/>
          <w:sz w:val="20"/>
          <w:szCs w:val="20"/>
        </w:rPr>
        <w:t xml:space="preserve"> </w:t>
      </w:r>
      <w:r w:rsidR="00B61EA7" w:rsidRPr="00D72EF3">
        <w:rPr>
          <w:rFonts w:ascii="Times New Roman" w:hAnsi="Times New Roman" w:cs="Times New Roman"/>
          <w:color w:val="000000" w:themeColor="text1"/>
          <w:sz w:val="20"/>
          <w:szCs w:val="20"/>
        </w:rPr>
        <w:t>змінам клімату</w:t>
      </w:r>
      <w:r w:rsidR="00D72EF3">
        <w:rPr>
          <w:rFonts w:ascii="Times New Roman" w:hAnsi="Times New Roman" w:cs="Times New Roman"/>
          <w:color w:val="000000" w:themeColor="text1"/>
          <w:sz w:val="20"/>
          <w:szCs w:val="20"/>
        </w:rPr>
        <w:t xml:space="preserve">, а також забезпечення альтернативи </w:t>
      </w:r>
      <w:r w:rsidR="00657E53">
        <w:rPr>
          <w:rFonts w:ascii="Times New Roman" w:hAnsi="Times New Roman" w:cs="Times New Roman"/>
          <w:color w:val="000000" w:themeColor="text1"/>
          <w:sz w:val="20"/>
          <w:szCs w:val="20"/>
        </w:rPr>
        <w:t>корисним копалинам, які мають вичерпні запаси</w:t>
      </w:r>
      <w:r w:rsidR="00686CC2">
        <w:rPr>
          <w:rFonts w:ascii="Times New Roman" w:hAnsi="Times New Roman" w:cs="Times New Roman"/>
          <w:color w:val="000000" w:themeColor="text1"/>
          <w:sz w:val="20"/>
          <w:szCs w:val="20"/>
        </w:rPr>
        <w:t>.</w:t>
      </w:r>
      <w:r w:rsidR="00657E53">
        <w:rPr>
          <w:rFonts w:ascii="Times New Roman" w:hAnsi="Times New Roman" w:cs="Times New Roman"/>
          <w:color w:val="000000" w:themeColor="text1"/>
          <w:sz w:val="20"/>
          <w:szCs w:val="20"/>
        </w:rPr>
        <w:t xml:space="preserve"> </w:t>
      </w:r>
      <w:r w:rsidR="00B61EA7" w:rsidRPr="00D72EF3">
        <w:rPr>
          <w:rFonts w:ascii="Times New Roman" w:hAnsi="Times New Roman" w:cs="Times New Roman"/>
          <w:color w:val="000000" w:themeColor="text1"/>
          <w:sz w:val="20"/>
          <w:szCs w:val="20"/>
        </w:rPr>
        <w:t xml:space="preserve">На сьогодні альтернативна енергетика </w:t>
      </w:r>
      <w:r w:rsidR="00BC7926">
        <w:rPr>
          <w:rFonts w:ascii="Times New Roman" w:hAnsi="Times New Roman" w:cs="Times New Roman"/>
          <w:color w:val="000000" w:themeColor="text1"/>
          <w:sz w:val="20"/>
          <w:szCs w:val="20"/>
        </w:rPr>
        <w:t>є</w:t>
      </w:r>
      <w:r w:rsidR="00B61EA7" w:rsidRPr="00D72EF3">
        <w:rPr>
          <w:rFonts w:ascii="Times New Roman" w:hAnsi="Times New Roman" w:cs="Times New Roman"/>
          <w:color w:val="000000" w:themeColor="text1"/>
          <w:sz w:val="20"/>
          <w:szCs w:val="20"/>
        </w:rPr>
        <w:t xml:space="preserve"> </w:t>
      </w:r>
      <w:r w:rsidR="00BC7926">
        <w:rPr>
          <w:rFonts w:ascii="Times New Roman" w:hAnsi="Times New Roman" w:cs="Times New Roman"/>
          <w:color w:val="000000" w:themeColor="text1"/>
          <w:sz w:val="20"/>
          <w:szCs w:val="20"/>
        </w:rPr>
        <w:t xml:space="preserve">однією із ключових </w:t>
      </w:r>
      <w:r w:rsidR="00B61EA7" w:rsidRPr="00D72EF3">
        <w:rPr>
          <w:rFonts w:ascii="Times New Roman" w:hAnsi="Times New Roman" w:cs="Times New Roman"/>
          <w:color w:val="000000" w:themeColor="text1"/>
          <w:sz w:val="20"/>
          <w:szCs w:val="20"/>
        </w:rPr>
        <w:t xml:space="preserve">галузей світової економіки, </w:t>
      </w:r>
      <w:r w:rsidR="00657E53">
        <w:rPr>
          <w:rFonts w:ascii="Times New Roman" w:hAnsi="Times New Roman" w:cs="Times New Roman"/>
          <w:color w:val="000000" w:themeColor="text1"/>
          <w:sz w:val="20"/>
          <w:szCs w:val="20"/>
        </w:rPr>
        <w:t xml:space="preserve">оскільки </w:t>
      </w:r>
      <w:r w:rsidR="00B61EA7" w:rsidRPr="00D72EF3">
        <w:rPr>
          <w:rFonts w:ascii="Times New Roman" w:hAnsi="Times New Roman" w:cs="Times New Roman"/>
          <w:color w:val="000000" w:themeColor="text1"/>
          <w:sz w:val="20"/>
          <w:szCs w:val="20"/>
        </w:rPr>
        <w:t xml:space="preserve">відновлювані джерела енергії виступають не лише способом зменшення вуглецевої енергетичної залежності, а можуть бути реальною конкурентною перевагою </w:t>
      </w:r>
      <w:r w:rsidR="001147F8" w:rsidRPr="00D72EF3">
        <w:rPr>
          <w:rFonts w:ascii="Times New Roman" w:hAnsi="Times New Roman" w:cs="Times New Roman"/>
          <w:color w:val="000000" w:themeColor="text1"/>
          <w:sz w:val="20"/>
          <w:szCs w:val="20"/>
        </w:rPr>
        <w:t>економік світу</w:t>
      </w:r>
      <w:r w:rsidR="00B61EA7" w:rsidRPr="00D72EF3">
        <w:rPr>
          <w:rFonts w:ascii="Times New Roman" w:hAnsi="Times New Roman" w:cs="Times New Roman"/>
          <w:color w:val="000000" w:themeColor="text1"/>
          <w:sz w:val="20"/>
          <w:szCs w:val="20"/>
        </w:rPr>
        <w:t>.</w:t>
      </w:r>
    </w:p>
    <w:p w:rsidR="00B61EA7" w:rsidRPr="00657E53" w:rsidRDefault="00B61EA7" w:rsidP="000F15D1">
      <w:pPr>
        <w:spacing w:line="240" w:lineRule="auto"/>
        <w:rPr>
          <w:rFonts w:ascii="Times New Roman" w:hAnsi="Times New Roman" w:cs="Times New Roman"/>
          <w:sz w:val="20"/>
          <w:szCs w:val="20"/>
        </w:rPr>
      </w:pPr>
      <w:r w:rsidRPr="000F15D1">
        <w:rPr>
          <w:rFonts w:ascii="Times New Roman" w:hAnsi="Times New Roman" w:cs="Times New Roman"/>
          <w:sz w:val="20"/>
          <w:szCs w:val="20"/>
        </w:rPr>
        <w:t xml:space="preserve"> </w:t>
      </w:r>
      <w:r w:rsidRPr="00657E53">
        <w:rPr>
          <w:rFonts w:ascii="Times New Roman" w:hAnsi="Times New Roman" w:cs="Times New Roman"/>
          <w:b/>
          <w:sz w:val="20"/>
          <w:szCs w:val="20"/>
        </w:rPr>
        <w:t>Аналіз досліджень і публікацій</w:t>
      </w:r>
      <w:r w:rsidRPr="00657E53">
        <w:rPr>
          <w:rFonts w:ascii="Times New Roman" w:hAnsi="Times New Roman" w:cs="Times New Roman"/>
          <w:sz w:val="20"/>
          <w:szCs w:val="20"/>
        </w:rPr>
        <w:t xml:space="preserve">. </w:t>
      </w:r>
      <w:r w:rsidR="00657E53" w:rsidRPr="00657E53">
        <w:rPr>
          <w:rFonts w:ascii="Times New Roman" w:hAnsi="Times New Roman" w:cs="Times New Roman"/>
          <w:sz w:val="20"/>
          <w:szCs w:val="20"/>
        </w:rPr>
        <w:t xml:space="preserve">Питання розвитку та впровадження альтернативних джерел енергії та їх екологічна доцільність досліджувалась такими вченими, як П. </w:t>
      </w:r>
      <w:proofErr w:type="spellStart"/>
      <w:r w:rsidR="00657E53" w:rsidRPr="00657E53">
        <w:rPr>
          <w:rFonts w:ascii="Times New Roman" w:hAnsi="Times New Roman" w:cs="Times New Roman"/>
          <w:sz w:val="20"/>
          <w:szCs w:val="20"/>
        </w:rPr>
        <w:t>Неміш</w:t>
      </w:r>
      <w:proofErr w:type="spellEnd"/>
      <w:r w:rsidR="00657E53" w:rsidRPr="00657E53">
        <w:rPr>
          <w:rFonts w:ascii="Times New Roman" w:hAnsi="Times New Roman" w:cs="Times New Roman"/>
          <w:sz w:val="20"/>
          <w:szCs w:val="20"/>
        </w:rPr>
        <w:t xml:space="preserve">, Т. </w:t>
      </w:r>
      <w:proofErr w:type="spellStart"/>
      <w:r w:rsidR="00657E53" w:rsidRPr="00657E53">
        <w:rPr>
          <w:rFonts w:ascii="Times New Roman" w:hAnsi="Times New Roman" w:cs="Times New Roman"/>
          <w:sz w:val="20"/>
          <w:szCs w:val="20"/>
        </w:rPr>
        <w:t>Райхенбах</w:t>
      </w:r>
      <w:proofErr w:type="spellEnd"/>
      <w:r w:rsidR="00657E53" w:rsidRPr="00657E53">
        <w:rPr>
          <w:rFonts w:ascii="Times New Roman" w:hAnsi="Times New Roman" w:cs="Times New Roman"/>
          <w:sz w:val="20"/>
          <w:szCs w:val="20"/>
        </w:rPr>
        <w:t xml:space="preserve">, О. Тітко, М. </w:t>
      </w:r>
      <w:proofErr w:type="spellStart"/>
      <w:r w:rsidR="00657E53" w:rsidRPr="00657E53">
        <w:rPr>
          <w:rFonts w:ascii="Times New Roman" w:hAnsi="Times New Roman" w:cs="Times New Roman"/>
          <w:sz w:val="20"/>
          <w:szCs w:val="20"/>
        </w:rPr>
        <w:t>Кулік</w:t>
      </w:r>
      <w:proofErr w:type="spellEnd"/>
      <w:r w:rsidR="00657E53" w:rsidRPr="00657E53">
        <w:rPr>
          <w:rFonts w:ascii="Times New Roman" w:hAnsi="Times New Roman" w:cs="Times New Roman"/>
          <w:sz w:val="20"/>
          <w:szCs w:val="20"/>
        </w:rPr>
        <w:t xml:space="preserve">, М. </w:t>
      </w:r>
      <w:proofErr w:type="spellStart"/>
      <w:r w:rsidR="00657E53" w:rsidRPr="00657E53">
        <w:rPr>
          <w:rFonts w:ascii="Times New Roman" w:hAnsi="Times New Roman" w:cs="Times New Roman"/>
          <w:sz w:val="20"/>
          <w:szCs w:val="20"/>
        </w:rPr>
        <w:t>Белопольський</w:t>
      </w:r>
      <w:proofErr w:type="spellEnd"/>
      <w:r w:rsidR="00657E53" w:rsidRPr="00657E53">
        <w:rPr>
          <w:rFonts w:ascii="Times New Roman" w:hAnsi="Times New Roman" w:cs="Times New Roman"/>
          <w:sz w:val="20"/>
          <w:szCs w:val="20"/>
        </w:rPr>
        <w:t xml:space="preserve">, </w:t>
      </w:r>
      <w:proofErr w:type="spellStart"/>
      <w:r w:rsidR="00657E53" w:rsidRPr="00657E53">
        <w:rPr>
          <w:rFonts w:ascii="Times New Roman" w:hAnsi="Times New Roman" w:cs="Times New Roman"/>
          <w:sz w:val="20"/>
          <w:szCs w:val="20"/>
        </w:rPr>
        <w:t>Борохов</w:t>
      </w:r>
      <w:proofErr w:type="spellEnd"/>
      <w:r w:rsidR="00657E53" w:rsidRPr="00657E53">
        <w:rPr>
          <w:rFonts w:ascii="Times New Roman" w:hAnsi="Times New Roman" w:cs="Times New Roman"/>
          <w:sz w:val="20"/>
          <w:szCs w:val="20"/>
        </w:rPr>
        <w:t xml:space="preserve"> В. Бурда, Л. </w:t>
      </w:r>
      <w:proofErr w:type="spellStart"/>
      <w:r w:rsidR="00657E53" w:rsidRPr="00657E53">
        <w:rPr>
          <w:rFonts w:ascii="Times New Roman" w:hAnsi="Times New Roman" w:cs="Times New Roman"/>
          <w:sz w:val="20"/>
          <w:szCs w:val="20"/>
        </w:rPr>
        <w:t>Гирник</w:t>
      </w:r>
      <w:proofErr w:type="spellEnd"/>
      <w:r w:rsidR="00657E53" w:rsidRPr="00657E53">
        <w:rPr>
          <w:rFonts w:ascii="Times New Roman" w:hAnsi="Times New Roman" w:cs="Times New Roman"/>
          <w:sz w:val="20"/>
          <w:szCs w:val="20"/>
        </w:rPr>
        <w:t xml:space="preserve">, Л. Матвійчук та інші. </w:t>
      </w:r>
      <w:r w:rsidRPr="00657E53">
        <w:rPr>
          <w:rFonts w:ascii="Times New Roman" w:hAnsi="Times New Roman" w:cs="Times New Roman"/>
          <w:sz w:val="20"/>
          <w:szCs w:val="20"/>
        </w:rPr>
        <w:t xml:space="preserve">Важливі теоретичні та практичні аспекти </w:t>
      </w:r>
      <w:r w:rsidRPr="00657E53">
        <w:rPr>
          <w:rFonts w:ascii="Times New Roman" w:hAnsi="Times New Roman" w:cs="Times New Roman"/>
          <w:sz w:val="20"/>
          <w:szCs w:val="20"/>
        </w:rPr>
        <w:lastRenderedPageBreak/>
        <w:t xml:space="preserve">розвитку альтернативної енергетики в Україні покладені в основу досліджень багатьох науковців, зокрема </w:t>
      </w:r>
      <w:r w:rsidR="00657E53" w:rsidRPr="00657E53">
        <w:rPr>
          <w:rFonts w:ascii="Times New Roman" w:hAnsi="Times New Roman" w:cs="Times New Roman"/>
          <w:sz w:val="20"/>
          <w:szCs w:val="20"/>
        </w:rPr>
        <w:t xml:space="preserve">українських учених С. </w:t>
      </w:r>
      <w:proofErr w:type="spellStart"/>
      <w:r w:rsidR="00657E53" w:rsidRPr="00657E53">
        <w:rPr>
          <w:rFonts w:ascii="Times New Roman" w:hAnsi="Times New Roman" w:cs="Times New Roman"/>
          <w:sz w:val="20"/>
          <w:szCs w:val="20"/>
        </w:rPr>
        <w:t>Войтка</w:t>
      </w:r>
      <w:proofErr w:type="spellEnd"/>
      <w:r w:rsidR="00657E53" w:rsidRPr="00657E53">
        <w:rPr>
          <w:rFonts w:ascii="Times New Roman" w:hAnsi="Times New Roman" w:cs="Times New Roman"/>
          <w:sz w:val="20"/>
          <w:szCs w:val="20"/>
        </w:rPr>
        <w:t xml:space="preserve">, О. </w:t>
      </w:r>
      <w:proofErr w:type="spellStart"/>
      <w:r w:rsidR="00657E53" w:rsidRPr="00657E53">
        <w:rPr>
          <w:rFonts w:ascii="Times New Roman" w:hAnsi="Times New Roman" w:cs="Times New Roman"/>
          <w:sz w:val="20"/>
          <w:szCs w:val="20"/>
        </w:rPr>
        <w:t>Дячука</w:t>
      </w:r>
      <w:proofErr w:type="spellEnd"/>
      <w:r w:rsidR="00657E53" w:rsidRPr="00657E53">
        <w:rPr>
          <w:rFonts w:ascii="Times New Roman" w:hAnsi="Times New Roman" w:cs="Times New Roman"/>
          <w:sz w:val="20"/>
          <w:szCs w:val="20"/>
        </w:rPr>
        <w:t xml:space="preserve">, Б. </w:t>
      </w:r>
      <w:proofErr w:type="spellStart"/>
      <w:r w:rsidR="00657E53" w:rsidRPr="00657E53">
        <w:rPr>
          <w:rFonts w:ascii="Times New Roman" w:hAnsi="Times New Roman" w:cs="Times New Roman"/>
          <w:sz w:val="20"/>
          <w:szCs w:val="20"/>
        </w:rPr>
        <w:t>Серебреннікова</w:t>
      </w:r>
      <w:proofErr w:type="spellEnd"/>
      <w:r w:rsidR="00657E53" w:rsidRPr="00657E53">
        <w:rPr>
          <w:rFonts w:ascii="Times New Roman" w:hAnsi="Times New Roman" w:cs="Times New Roman"/>
          <w:sz w:val="20"/>
          <w:szCs w:val="20"/>
        </w:rPr>
        <w:t xml:space="preserve">, С. </w:t>
      </w:r>
      <w:proofErr w:type="spellStart"/>
      <w:r w:rsidR="00657E53" w:rsidRPr="00657E53">
        <w:rPr>
          <w:rFonts w:ascii="Times New Roman" w:hAnsi="Times New Roman" w:cs="Times New Roman"/>
          <w:sz w:val="20"/>
          <w:szCs w:val="20"/>
        </w:rPr>
        <w:t>Нараєвського</w:t>
      </w:r>
      <w:proofErr w:type="spellEnd"/>
      <w:r w:rsidR="00657E53" w:rsidRPr="00657E53">
        <w:rPr>
          <w:rFonts w:ascii="Times New Roman" w:hAnsi="Times New Roman" w:cs="Times New Roman"/>
          <w:sz w:val="20"/>
          <w:szCs w:val="20"/>
        </w:rPr>
        <w:t xml:space="preserve">, С. Кудрі, Ю. Морозова,  В. </w:t>
      </w:r>
      <w:proofErr w:type="spellStart"/>
      <w:r w:rsidR="00657E53" w:rsidRPr="00657E53">
        <w:rPr>
          <w:rFonts w:ascii="Times New Roman" w:hAnsi="Times New Roman" w:cs="Times New Roman"/>
          <w:sz w:val="20"/>
          <w:szCs w:val="20"/>
        </w:rPr>
        <w:t>Рєзцова</w:t>
      </w:r>
      <w:proofErr w:type="spellEnd"/>
      <w:r w:rsidR="00657E53" w:rsidRPr="00657E53">
        <w:rPr>
          <w:rFonts w:ascii="Times New Roman" w:hAnsi="Times New Roman" w:cs="Times New Roman"/>
          <w:sz w:val="20"/>
          <w:szCs w:val="20"/>
        </w:rPr>
        <w:t xml:space="preserve"> та ін.</w:t>
      </w:r>
    </w:p>
    <w:p w:rsidR="00B61EA7" w:rsidRPr="00657E53" w:rsidRDefault="00B61EA7" w:rsidP="000F15D1">
      <w:pPr>
        <w:spacing w:line="240" w:lineRule="auto"/>
        <w:rPr>
          <w:rFonts w:ascii="Times New Roman" w:hAnsi="Times New Roman" w:cs="Times New Roman"/>
          <w:sz w:val="20"/>
          <w:szCs w:val="20"/>
        </w:rPr>
      </w:pPr>
      <w:r w:rsidRPr="00657E53">
        <w:rPr>
          <w:rFonts w:ascii="Times New Roman" w:hAnsi="Times New Roman" w:cs="Times New Roman"/>
          <w:b/>
          <w:sz w:val="20"/>
          <w:szCs w:val="20"/>
        </w:rPr>
        <w:t>Метою статті</w:t>
      </w:r>
      <w:r w:rsidRPr="00657E53">
        <w:rPr>
          <w:rFonts w:ascii="Times New Roman" w:hAnsi="Times New Roman" w:cs="Times New Roman"/>
          <w:sz w:val="20"/>
          <w:szCs w:val="20"/>
        </w:rPr>
        <w:t xml:space="preserve"> є аналіз ринку </w:t>
      </w:r>
      <w:r w:rsidR="007009DB">
        <w:rPr>
          <w:rFonts w:ascii="Times New Roman" w:hAnsi="Times New Roman" w:cs="Times New Roman"/>
          <w:sz w:val="20"/>
          <w:szCs w:val="20"/>
        </w:rPr>
        <w:t>альтернативної енергетики</w:t>
      </w:r>
      <w:r w:rsidRPr="00657E53">
        <w:rPr>
          <w:rFonts w:ascii="Times New Roman" w:hAnsi="Times New Roman" w:cs="Times New Roman"/>
          <w:sz w:val="20"/>
          <w:szCs w:val="20"/>
        </w:rPr>
        <w:t xml:space="preserve"> у світі та в Україні, визначення </w:t>
      </w:r>
      <w:r w:rsidR="007009DB">
        <w:rPr>
          <w:rFonts w:ascii="Times New Roman" w:hAnsi="Times New Roman" w:cs="Times New Roman"/>
          <w:sz w:val="20"/>
          <w:szCs w:val="20"/>
        </w:rPr>
        <w:t xml:space="preserve">сучасних </w:t>
      </w:r>
      <w:r w:rsidRPr="00657E53">
        <w:rPr>
          <w:rFonts w:ascii="Times New Roman" w:hAnsi="Times New Roman" w:cs="Times New Roman"/>
          <w:sz w:val="20"/>
          <w:szCs w:val="20"/>
        </w:rPr>
        <w:t xml:space="preserve">особливостей </w:t>
      </w:r>
      <w:r w:rsidR="007009DB">
        <w:rPr>
          <w:rFonts w:ascii="Times New Roman" w:hAnsi="Times New Roman" w:cs="Times New Roman"/>
          <w:sz w:val="20"/>
          <w:szCs w:val="20"/>
        </w:rPr>
        <w:t xml:space="preserve">і тенденцій його розвитку, а також </w:t>
      </w:r>
      <w:r w:rsidRPr="00657E53">
        <w:rPr>
          <w:rFonts w:ascii="Times New Roman" w:hAnsi="Times New Roman" w:cs="Times New Roman"/>
          <w:sz w:val="20"/>
          <w:szCs w:val="20"/>
        </w:rPr>
        <w:t xml:space="preserve">дослідження </w:t>
      </w:r>
      <w:r w:rsidR="001A64EE">
        <w:rPr>
          <w:rFonts w:ascii="Times New Roman" w:hAnsi="Times New Roman" w:cs="Times New Roman"/>
          <w:sz w:val="20"/>
          <w:szCs w:val="20"/>
        </w:rPr>
        <w:t xml:space="preserve">механізмів регулювання та </w:t>
      </w:r>
      <w:r w:rsidR="007009DB">
        <w:rPr>
          <w:rFonts w:ascii="Times New Roman" w:hAnsi="Times New Roman" w:cs="Times New Roman"/>
          <w:sz w:val="20"/>
          <w:szCs w:val="20"/>
        </w:rPr>
        <w:t>перспектив впровадження відновлювальних джерел енергії в Україні.</w:t>
      </w:r>
    </w:p>
    <w:p w:rsidR="00074532" w:rsidRPr="008060E0" w:rsidRDefault="00B61EA7" w:rsidP="000F15D1">
      <w:pPr>
        <w:tabs>
          <w:tab w:val="left" w:pos="4287"/>
        </w:tabs>
        <w:spacing w:line="240" w:lineRule="auto"/>
        <w:rPr>
          <w:rFonts w:ascii="Times New Roman" w:hAnsi="Times New Roman" w:cs="Times New Roman"/>
          <w:sz w:val="20"/>
          <w:szCs w:val="20"/>
        </w:rPr>
      </w:pPr>
      <w:r w:rsidRPr="00657E53">
        <w:rPr>
          <w:rFonts w:ascii="Times New Roman" w:hAnsi="Times New Roman" w:cs="Times New Roman"/>
          <w:b/>
          <w:sz w:val="20"/>
          <w:szCs w:val="20"/>
        </w:rPr>
        <w:t>Виклад основного матеріалу.</w:t>
      </w:r>
      <w:r w:rsidR="001147F8" w:rsidRPr="00657E53">
        <w:rPr>
          <w:rFonts w:ascii="Times New Roman" w:hAnsi="Times New Roman" w:cs="Times New Roman"/>
          <w:b/>
          <w:sz w:val="20"/>
          <w:szCs w:val="20"/>
        </w:rPr>
        <w:t xml:space="preserve"> </w:t>
      </w:r>
      <w:r w:rsidR="00010398" w:rsidRPr="00657E53">
        <w:rPr>
          <w:rFonts w:ascii="Times New Roman" w:hAnsi="Times New Roman" w:cs="Times New Roman"/>
          <w:sz w:val="20"/>
          <w:szCs w:val="20"/>
        </w:rPr>
        <w:t>Енергоефективність та</w:t>
      </w:r>
      <w:r w:rsidR="008E6574" w:rsidRPr="00657E53">
        <w:rPr>
          <w:rFonts w:ascii="Times New Roman" w:hAnsi="Times New Roman" w:cs="Times New Roman"/>
          <w:sz w:val="20"/>
          <w:szCs w:val="20"/>
        </w:rPr>
        <w:t xml:space="preserve"> використання </w:t>
      </w:r>
      <w:r w:rsidR="00010398" w:rsidRPr="00657E53">
        <w:rPr>
          <w:rFonts w:ascii="Times New Roman" w:hAnsi="Times New Roman" w:cs="Times New Roman"/>
          <w:sz w:val="20"/>
          <w:szCs w:val="20"/>
        </w:rPr>
        <w:t>альтернативних</w:t>
      </w:r>
      <w:r w:rsidR="008E6574" w:rsidRPr="00657E53">
        <w:rPr>
          <w:rFonts w:ascii="Times New Roman" w:hAnsi="Times New Roman" w:cs="Times New Roman"/>
          <w:sz w:val="20"/>
          <w:szCs w:val="20"/>
        </w:rPr>
        <w:t xml:space="preserve"> джерел енергії </w:t>
      </w:r>
      <w:r w:rsidR="00010398" w:rsidRPr="00657E53">
        <w:rPr>
          <w:rFonts w:ascii="Times New Roman" w:hAnsi="Times New Roman" w:cs="Times New Roman"/>
          <w:sz w:val="20"/>
          <w:szCs w:val="20"/>
        </w:rPr>
        <w:t xml:space="preserve">стало актуальною потребою часу через можливість вирішення </w:t>
      </w:r>
      <w:r w:rsidR="008E6574" w:rsidRPr="00657E53">
        <w:rPr>
          <w:rFonts w:ascii="Times New Roman" w:hAnsi="Times New Roman" w:cs="Times New Roman"/>
          <w:sz w:val="20"/>
          <w:szCs w:val="20"/>
        </w:rPr>
        <w:t>не тільки проблеми енергопостачання</w:t>
      </w:r>
      <w:r w:rsidR="008E6574" w:rsidRPr="000F15D1">
        <w:rPr>
          <w:rFonts w:ascii="Times New Roman" w:hAnsi="Times New Roman" w:cs="Times New Roman"/>
          <w:sz w:val="20"/>
          <w:szCs w:val="20"/>
        </w:rPr>
        <w:t xml:space="preserve">, а й багатьох екологічних, економічних і соціальних </w:t>
      </w:r>
      <w:r w:rsidR="00010398">
        <w:rPr>
          <w:rFonts w:ascii="Times New Roman" w:hAnsi="Times New Roman" w:cs="Times New Roman"/>
          <w:sz w:val="20"/>
          <w:szCs w:val="20"/>
        </w:rPr>
        <w:t>питань світової спільноти в умовах нестабільності глобальних економічних процесів. Окрім цього, в</w:t>
      </w:r>
      <w:r w:rsidR="00074532" w:rsidRPr="000F15D1">
        <w:rPr>
          <w:rFonts w:ascii="Times New Roman" w:hAnsi="Times New Roman" w:cs="Times New Roman"/>
          <w:sz w:val="20"/>
          <w:szCs w:val="20"/>
        </w:rPr>
        <w:t>ідновлювані джерела енергії (ВДЕ) є</w:t>
      </w:r>
      <w:r w:rsidR="001A64EE">
        <w:rPr>
          <w:rFonts w:ascii="Times New Roman" w:hAnsi="Times New Roman" w:cs="Times New Roman"/>
          <w:sz w:val="20"/>
          <w:szCs w:val="20"/>
        </w:rPr>
        <w:t xml:space="preserve"> на</w:t>
      </w:r>
      <w:r w:rsidR="00010398">
        <w:rPr>
          <w:rFonts w:ascii="Times New Roman" w:hAnsi="Times New Roman" w:cs="Times New Roman"/>
          <w:sz w:val="20"/>
          <w:szCs w:val="20"/>
        </w:rPr>
        <w:t xml:space="preserve"> сьогодні</w:t>
      </w:r>
      <w:r w:rsidR="00074532" w:rsidRPr="000F15D1">
        <w:rPr>
          <w:rFonts w:ascii="Times New Roman" w:hAnsi="Times New Roman" w:cs="Times New Roman"/>
          <w:sz w:val="20"/>
          <w:szCs w:val="20"/>
        </w:rPr>
        <w:t xml:space="preserve"> </w:t>
      </w:r>
      <w:r w:rsidR="001A64EE">
        <w:rPr>
          <w:rFonts w:ascii="Times New Roman" w:hAnsi="Times New Roman" w:cs="Times New Roman"/>
          <w:sz w:val="20"/>
          <w:szCs w:val="20"/>
        </w:rPr>
        <w:t>пріоритетною сферою</w:t>
      </w:r>
      <w:r w:rsidR="00074532" w:rsidRPr="000F15D1">
        <w:rPr>
          <w:rFonts w:ascii="Times New Roman" w:hAnsi="Times New Roman" w:cs="Times New Roman"/>
          <w:sz w:val="20"/>
          <w:szCs w:val="20"/>
        </w:rPr>
        <w:t xml:space="preserve"> політики </w:t>
      </w:r>
      <w:r w:rsidR="00010398">
        <w:rPr>
          <w:rFonts w:ascii="Times New Roman" w:hAnsi="Times New Roman" w:cs="Times New Roman"/>
          <w:sz w:val="20"/>
          <w:szCs w:val="20"/>
        </w:rPr>
        <w:t>багатьох країн</w:t>
      </w:r>
      <w:r w:rsidR="008060E0" w:rsidRPr="008060E0">
        <w:rPr>
          <w:rFonts w:ascii="Times New Roman" w:hAnsi="Times New Roman" w:cs="Times New Roman"/>
          <w:sz w:val="20"/>
          <w:szCs w:val="20"/>
        </w:rPr>
        <w:t xml:space="preserve"> [</w:t>
      </w:r>
      <w:r w:rsidR="006205F3">
        <w:rPr>
          <w:rFonts w:ascii="Times New Roman" w:hAnsi="Times New Roman" w:cs="Times New Roman"/>
          <w:sz w:val="20"/>
          <w:szCs w:val="20"/>
        </w:rPr>
        <w:t>2</w:t>
      </w:r>
      <w:r w:rsidR="008060E0" w:rsidRPr="008060E0">
        <w:rPr>
          <w:rFonts w:ascii="Times New Roman" w:hAnsi="Times New Roman" w:cs="Times New Roman"/>
          <w:sz w:val="20"/>
          <w:szCs w:val="20"/>
        </w:rPr>
        <w:t xml:space="preserve">, </w:t>
      </w:r>
      <w:r w:rsidR="008060E0">
        <w:rPr>
          <w:rFonts w:ascii="Times New Roman" w:hAnsi="Times New Roman" w:cs="Times New Roman"/>
          <w:sz w:val="20"/>
          <w:szCs w:val="20"/>
          <w:lang w:val="en-US"/>
        </w:rPr>
        <w:t>c</w:t>
      </w:r>
      <w:r w:rsidR="008060E0" w:rsidRPr="008060E0">
        <w:rPr>
          <w:rFonts w:ascii="Times New Roman" w:hAnsi="Times New Roman" w:cs="Times New Roman"/>
          <w:sz w:val="20"/>
          <w:szCs w:val="20"/>
        </w:rPr>
        <w:t>. 105].</w:t>
      </w:r>
    </w:p>
    <w:p w:rsidR="00B566D8" w:rsidRPr="006205F3" w:rsidRDefault="00297D45" w:rsidP="00A92B79">
      <w:pPr>
        <w:tabs>
          <w:tab w:val="left" w:pos="4287"/>
        </w:tabs>
        <w:spacing w:line="240" w:lineRule="auto"/>
        <w:rPr>
          <w:rFonts w:ascii="Times New Roman" w:hAnsi="Times New Roman" w:cs="Times New Roman"/>
          <w:sz w:val="20"/>
          <w:szCs w:val="20"/>
          <w:lang w:val="ru-RU"/>
        </w:rPr>
      </w:pPr>
      <w:r>
        <w:rPr>
          <w:rFonts w:ascii="Times New Roman" w:hAnsi="Times New Roman" w:cs="Times New Roman"/>
          <w:sz w:val="20"/>
          <w:szCs w:val="20"/>
        </w:rPr>
        <w:t xml:space="preserve">Загалом ринковий попит на альтернативні джерела енергії </w:t>
      </w:r>
      <w:r w:rsidR="001A64EE">
        <w:rPr>
          <w:rFonts w:ascii="Times New Roman" w:hAnsi="Times New Roman" w:cs="Times New Roman"/>
          <w:sz w:val="20"/>
          <w:szCs w:val="20"/>
        </w:rPr>
        <w:t>почав стрімко зростати</w:t>
      </w:r>
      <w:r w:rsidR="00B73D70">
        <w:rPr>
          <w:rFonts w:ascii="Times New Roman" w:hAnsi="Times New Roman" w:cs="Times New Roman"/>
          <w:sz w:val="20"/>
          <w:szCs w:val="20"/>
        </w:rPr>
        <w:t xml:space="preserve"> із середини 1990</w:t>
      </w:r>
      <w:r w:rsidR="001A64EE">
        <w:rPr>
          <w:rFonts w:ascii="Times New Roman" w:hAnsi="Times New Roman" w:cs="Times New Roman"/>
          <w:sz w:val="20"/>
          <w:szCs w:val="20"/>
        </w:rPr>
        <w:t>-</w:t>
      </w:r>
      <w:r w:rsidR="00B73D70">
        <w:rPr>
          <w:rFonts w:ascii="Times New Roman" w:hAnsi="Times New Roman" w:cs="Times New Roman"/>
          <w:sz w:val="20"/>
          <w:szCs w:val="20"/>
        </w:rPr>
        <w:t xml:space="preserve">х – </w:t>
      </w:r>
      <w:r w:rsidR="001A64EE">
        <w:rPr>
          <w:rFonts w:ascii="Times New Roman" w:hAnsi="Times New Roman" w:cs="Times New Roman"/>
          <w:sz w:val="20"/>
          <w:szCs w:val="20"/>
        </w:rPr>
        <w:t xml:space="preserve">початку </w:t>
      </w:r>
      <w:r w:rsidR="00B73D70">
        <w:rPr>
          <w:rFonts w:ascii="Times New Roman" w:hAnsi="Times New Roman" w:cs="Times New Roman"/>
          <w:sz w:val="20"/>
          <w:szCs w:val="20"/>
        </w:rPr>
        <w:t>2000</w:t>
      </w:r>
      <w:r w:rsidR="001A64EE">
        <w:rPr>
          <w:rFonts w:ascii="Times New Roman" w:hAnsi="Times New Roman" w:cs="Times New Roman"/>
          <w:sz w:val="20"/>
          <w:szCs w:val="20"/>
        </w:rPr>
        <w:t>-</w:t>
      </w:r>
      <w:r w:rsidR="000F4375">
        <w:rPr>
          <w:rFonts w:ascii="Times New Roman" w:hAnsi="Times New Roman" w:cs="Times New Roman"/>
          <w:sz w:val="20"/>
          <w:szCs w:val="20"/>
        </w:rPr>
        <w:t>х</w:t>
      </w:r>
      <w:r>
        <w:rPr>
          <w:rFonts w:ascii="Times New Roman" w:hAnsi="Times New Roman" w:cs="Times New Roman"/>
          <w:sz w:val="20"/>
          <w:szCs w:val="20"/>
        </w:rPr>
        <w:t xml:space="preserve">, що зумовлено прогнозованим зменшенням запасів вичерпних горючих корисних копалин. Крім того, </w:t>
      </w:r>
      <w:r w:rsidR="007219DA" w:rsidRPr="00297D45">
        <w:rPr>
          <w:rFonts w:ascii="Times New Roman" w:hAnsi="Times New Roman" w:cs="Times New Roman"/>
          <w:sz w:val="20"/>
          <w:szCs w:val="20"/>
        </w:rPr>
        <w:t>за висновками експертів</w:t>
      </w:r>
      <w:r w:rsidR="007219DA">
        <w:rPr>
          <w:rFonts w:ascii="Times New Roman" w:hAnsi="Times New Roman" w:cs="Times New Roman"/>
          <w:sz w:val="20"/>
          <w:szCs w:val="20"/>
        </w:rPr>
        <w:t xml:space="preserve"> </w:t>
      </w:r>
      <w:r>
        <w:rPr>
          <w:rFonts w:ascii="Times New Roman" w:hAnsi="Times New Roman" w:cs="Times New Roman"/>
          <w:sz w:val="20"/>
          <w:szCs w:val="20"/>
        </w:rPr>
        <w:t>п</w:t>
      </w:r>
      <w:r w:rsidRPr="00297D45">
        <w:rPr>
          <w:rFonts w:ascii="Times New Roman" w:hAnsi="Times New Roman" w:cs="Times New Roman"/>
          <w:sz w:val="20"/>
          <w:szCs w:val="20"/>
        </w:rPr>
        <w:t>ерше від</w:t>
      </w:r>
      <w:r w:rsidR="007219DA">
        <w:rPr>
          <w:rFonts w:ascii="Times New Roman" w:hAnsi="Times New Roman" w:cs="Times New Roman"/>
          <w:sz w:val="20"/>
          <w:szCs w:val="20"/>
        </w:rPr>
        <w:t>чутне скорочення запасів нафти</w:t>
      </w:r>
      <w:r w:rsidRPr="00297D45">
        <w:rPr>
          <w:rFonts w:ascii="Times New Roman" w:hAnsi="Times New Roman" w:cs="Times New Roman"/>
          <w:sz w:val="20"/>
          <w:szCs w:val="20"/>
        </w:rPr>
        <w:t xml:space="preserve"> відбулося </w:t>
      </w:r>
      <w:r w:rsidR="007219DA">
        <w:rPr>
          <w:rFonts w:ascii="Times New Roman" w:hAnsi="Times New Roman" w:cs="Times New Roman"/>
          <w:sz w:val="20"/>
          <w:szCs w:val="20"/>
        </w:rPr>
        <w:t xml:space="preserve">вже </w:t>
      </w:r>
      <w:r w:rsidRPr="00297D45">
        <w:rPr>
          <w:rFonts w:ascii="Times New Roman" w:hAnsi="Times New Roman" w:cs="Times New Roman"/>
          <w:sz w:val="20"/>
          <w:szCs w:val="20"/>
        </w:rPr>
        <w:t>у 2008 році. Найбільш виражено ця проблема спостерігається у Росії, Норвегії</w:t>
      </w:r>
      <w:r w:rsidR="007219DA">
        <w:rPr>
          <w:rFonts w:ascii="Times New Roman" w:hAnsi="Times New Roman" w:cs="Times New Roman"/>
          <w:sz w:val="20"/>
          <w:szCs w:val="20"/>
        </w:rPr>
        <w:t>, де зосереджені</w:t>
      </w:r>
      <w:r w:rsidR="00B73D70">
        <w:rPr>
          <w:rFonts w:ascii="Times New Roman" w:hAnsi="Times New Roman" w:cs="Times New Roman"/>
          <w:sz w:val="20"/>
          <w:szCs w:val="20"/>
        </w:rPr>
        <w:t xml:space="preserve"> </w:t>
      </w:r>
      <w:r w:rsidR="007219DA">
        <w:rPr>
          <w:rFonts w:ascii="Times New Roman" w:hAnsi="Times New Roman" w:cs="Times New Roman"/>
          <w:sz w:val="20"/>
          <w:szCs w:val="20"/>
        </w:rPr>
        <w:t>великі запаси нафти, а також у</w:t>
      </w:r>
      <w:r w:rsidRPr="00297D45">
        <w:rPr>
          <w:rFonts w:ascii="Times New Roman" w:hAnsi="Times New Roman" w:cs="Times New Roman"/>
          <w:sz w:val="20"/>
          <w:szCs w:val="20"/>
        </w:rPr>
        <w:t xml:space="preserve"> Китаї</w:t>
      </w:r>
      <w:r w:rsidR="007219DA">
        <w:rPr>
          <w:rFonts w:ascii="Times New Roman" w:hAnsi="Times New Roman" w:cs="Times New Roman"/>
          <w:sz w:val="20"/>
          <w:szCs w:val="20"/>
        </w:rPr>
        <w:t xml:space="preserve"> – найбільшого споживача паливних ресурсів</w:t>
      </w:r>
      <w:r w:rsidRPr="00B566D8">
        <w:rPr>
          <w:rFonts w:ascii="Times New Roman" w:hAnsi="Times New Roman" w:cs="Times New Roman"/>
          <w:color w:val="000000" w:themeColor="text1"/>
          <w:sz w:val="20"/>
          <w:szCs w:val="20"/>
        </w:rPr>
        <w:t xml:space="preserve">. </w:t>
      </w:r>
      <w:r w:rsidR="00B73D70" w:rsidRPr="00B566D8">
        <w:rPr>
          <w:rFonts w:ascii="Times New Roman" w:hAnsi="Times New Roman" w:cs="Times New Roman"/>
          <w:color w:val="000000" w:themeColor="text1"/>
          <w:sz w:val="20"/>
          <w:szCs w:val="20"/>
        </w:rPr>
        <w:t xml:space="preserve">З </w:t>
      </w:r>
      <w:r w:rsidR="00B566D8">
        <w:rPr>
          <w:rFonts w:ascii="Times New Roman" w:hAnsi="Times New Roman" w:cs="Times New Roman"/>
          <w:color w:val="000000" w:themeColor="text1"/>
          <w:sz w:val="20"/>
          <w:szCs w:val="20"/>
        </w:rPr>
        <w:t>кінця</w:t>
      </w:r>
      <w:r w:rsidR="00B73D70" w:rsidRPr="00B566D8">
        <w:rPr>
          <w:rFonts w:ascii="Times New Roman" w:hAnsi="Times New Roman" w:cs="Times New Roman"/>
          <w:color w:val="000000" w:themeColor="text1"/>
          <w:sz w:val="20"/>
          <w:szCs w:val="20"/>
        </w:rPr>
        <w:t xml:space="preserve"> </w:t>
      </w:r>
      <w:r w:rsidR="00B566D8">
        <w:rPr>
          <w:rFonts w:ascii="Times New Roman" w:hAnsi="Times New Roman" w:cs="Times New Roman"/>
          <w:color w:val="000000" w:themeColor="text1"/>
          <w:sz w:val="20"/>
          <w:szCs w:val="20"/>
        </w:rPr>
        <w:t>XX століття паливно-енергетичні копалини</w:t>
      </w:r>
      <w:r w:rsidR="00B73D70" w:rsidRPr="00B566D8">
        <w:rPr>
          <w:rFonts w:ascii="Times New Roman" w:hAnsi="Times New Roman" w:cs="Times New Roman"/>
          <w:color w:val="000000" w:themeColor="text1"/>
          <w:sz w:val="20"/>
          <w:szCs w:val="20"/>
        </w:rPr>
        <w:t xml:space="preserve"> </w:t>
      </w:r>
      <w:r w:rsidR="001A64EE">
        <w:rPr>
          <w:rFonts w:ascii="Times New Roman" w:hAnsi="Times New Roman" w:cs="Times New Roman"/>
          <w:color w:val="000000" w:themeColor="text1"/>
          <w:sz w:val="20"/>
          <w:szCs w:val="20"/>
        </w:rPr>
        <w:t>створюють</w:t>
      </w:r>
      <w:r w:rsidR="000F4375">
        <w:rPr>
          <w:rFonts w:ascii="Times New Roman" w:hAnsi="Times New Roman" w:cs="Times New Roman"/>
          <w:color w:val="000000" w:themeColor="text1"/>
          <w:sz w:val="20"/>
          <w:szCs w:val="20"/>
          <w:lang w:val="ru-RU"/>
        </w:rPr>
        <w:t xml:space="preserve"> </w:t>
      </w:r>
      <w:proofErr w:type="spellStart"/>
      <w:r w:rsidR="000F4375">
        <w:rPr>
          <w:rFonts w:ascii="Times New Roman" w:hAnsi="Times New Roman" w:cs="Times New Roman"/>
          <w:color w:val="000000" w:themeColor="text1"/>
          <w:sz w:val="20"/>
          <w:szCs w:val="20"/>
          <w:lang w:val="ru-RU"/>
        </w:rPr>
        <w:t>вагому</w:t>
      </w:r>
      <w:proofErr w:type="spellEnd"/>
      <w:r w:rsidR="00B566D8">
        <w:rPr>
          <w:rFonts w:ascii="Times New Roman" w:hAnsi="Times New Roman" w:cs="Times New Roman"/>
          <w:color w:val="000000" w:themeColor="text1"/>
          <w:sz w:val="20"/>
          <w:szCs w:val="20"/>
        </w:rPr>
        <w:t xml:space="preserve"> </w:t>
      </w:r>
      <w:r w:rsidR="000F4375">
        <w:rPr>
          <w:rFonts w:ascii="Times New Roman" w:hAnsi="Times New Roman" w:cs="Times New Roman"/>
          <w:color w:val="000000" w:themeColor="text1"/>
          <w:sz w:val="20"/>
          <w:szCs w:val="20"/>
        </w:rPr>
        <w:t xml:space="preserve">частку </w:t>
      </w:r>
      <w:r w:rsidR="00B566D8">
        <w:rPr>
          <w:rFonts w:ascii="Times New Roman" w:hAnsi="Times New Roman" w:cs="Times New Roman"/>
          <w:color w:val="000000" w:themeColor="text1"/>
          <w:sz w:val="20"/>
          <w:szCs w:val="20"/>
        </w:rPr>
        <w:t>сировинного сектору промисловості</w:t>
      </w:r>
      <w:r w:rsidR="00B73D70" w:rsidRPr="00B566D8">
        <w:rPr>
          <w:rFonts w:ascii="Times New Roman" w:hAnsi="Times New Roman" w:cs="Times New Roman"/>
          <w:color w:val="000000" w:themeColor="text1"/>
          <w:sz w:val="20"/>
          <w:szCs w:val="20"/>
        </w:rPr>
        <w:t xml:space="preserve">, </w:t>
      </w:r>
      <w:r w:rsidR="00B566D8">
        <w:rPr>
          <w:rFonts w:ascii="Times New Roman" w:hAnsi="Times New Roman" w:cs="Times New Roman"/>
          <w:color w:val="000000" w:themeColor="text1"/>
          <w:sz w:val="20"/>
          <w:szCs w:val="20"/>
        </w:rPr>
        <w:t>зайнявши</w:t>
      </w:r>
      <w:r w:rsidR="00B73D70" w:rsidRPr="00B566D8">
        <w:rPr>
          <w:rFonts w:ascii="Times New Roman" w:hAnsi="Times New Roman" w:cs="Times New Roman"/>
          <w:color w:val="000000" w:themeColor="text1"/>
          <w:sz w:val="20"/>
          <w:szCs w:val="20"/>
        </w:rPr>
        <w:t xml:space="preserve"> провідну роль </w:t>
      </w:r>
      <w:r w:rsidR="00B566D8">
        <w:rPr>
          <w:rFonts w:ascii="Times New Roman" w:hAnsi="Times New Roman" w:cs="Times New Roman"/>
          <w:color w:val="000000" w:themeColor="text1"/>
          <w:sz w:val="20"/>
          <w:szCs w:val="20"/>
        </w:rPr>
        <w:t xml:space="preserve">у </w:t>
      </w:r>
      <w:r w:rsidR="00B73D70" w:rsidRPr="00B566D8">
        <w:rPr>
          <w:rFonts w:ascii="Times New Roman" w:hAnsi="Times New Roman" w:cs="Times New Roman"/>
          <w:color w:val="000000" w:themeColor="text1"/>
          <w:sz w:val="20"/>
          <w:szCs w:val="20"/>
        </w:rPr>
        <w:t xml:space="preserve">міжнародній торгівлі. </w:t>
      </w:r>
      <w:r w:rsidR="00B566D8">
        <w:rPr>
          <w:rFonts w:ascii="Times New Roman" w:hAnsi="Times New Roman" w:cs="Times New Roman"/>
          <w:color w:val="000000" w:themeColor="text1"/>
          <w:sz w:val="20"/>
          <w:szCs w:val="20"/>
        </w:rPr>
        <w:t xml:space="preserve">Проте, вже сьогодні </w:t>
      </w:r>
      <w:r w:rsidR="00B73D70" w:rsidRPr="00B566D8">
        <w:rPr>
          <w:rFonts w:ascii="Times New Roman" w:hAnsi="Times New Roman" w:cs="Times New Roman"/>
          <w:color w:val="000000" w:themeColor="text1"/>
          <w:sz w:val="20"/>
          <w:szCs w:val="20"/>
        </w:rPr>
        <w:t>попит на енергетичні ресурси зростає значно повільні</w:t>
      </w:r>
      <w:r w:rsidR="00B566D8">
        <w:rPr>
          <w:rFonts w:ascii="Times New Roman" w:hAnsi="Times New Roman" w:cs="Times New Roman"/>
          <w:color w:val="000000" w:themeColor="text1"/>
          <w:sz w:val="20"/>
          <w:szCs w:val="20"/>
        </w:rPr>
        <w:t>ше, ніж у попередн</w:t>
      </w:r>
      <w:r w:rsidR="001A64EE">
        <w:rPr>
          <w:rFonts w:ascii="Times New Roman" w:hAnsi="Times New Roman" w:cs="Times New Roman"/>
          <w:color w:val="000000" w:themeColor="text1"/>
          <w:sz w:val="20"/>
          <w:szCs w:val="20"/>
        </w:rPr>
        <w:t>і десятиліття і, за прогнозами</w:t>
      </w:r>
      <w:r w:rsidR="00B566D8">
        <w:rPr>
          <w:rFonts w:ascii="Times New Roman" w:hAnsi="Times New Roman" w:cs="Times New Roman"/>
          <w:color w:val="000000" w:themeColor="text1"/>
          <w:sz w:val="20"/>
          <w:szCs w:val="20"/>
        </w:rPr>
        <w:t>,</w:t>
      </w:r>
      <w:r w:rsidR="00B73D70" w:rsidRPr="00B566D8">
        <w:rPr>
          <w:rFonts w:ascii="Times New Roman" w:hAnsi="Times New Roman" w:cs="Times New Roman"/>
          <w:color w:val="000000" w:themeColor="text1"/>
          <w:sz w:val="20"/>
          <w:szCs w:val="20"/>
        </w:rPr>
        <w:t xml:space="preserve"> така тенденція збережеться і в наступні 10-15 років</w:t>
      </w:r>
      <w:r w:rsidR="006205F3" w:rsidRPr="006205F3">
        <w:rPr>
          <w:rFonts w:ascii="Times New Roman" w:hAnsi="Times New Roman" w:cs="Times New Roman"/>
          <w:color w:val="000000" w:themeColor="text1"/>
          <w:sz w:val="20"/>
          <w:szCs w:val="20"/>
          <w:lang w:val="ru-RU"/>
        </w:rPr>
        <w:t>.</w:t>
      </w:r>
    </w:p>
    <w:p w:rsidR="00297D45" w:rsidRDefault="00277495" w:rsidP="006205F3">
      <w:pPr>
        <w:tabs>
          <w:tab w:val="left" w:pos="4287"/>
        </w:tabs>
        <w:spacing w:line="240" w:lineRule="auto"/>
        <w:rPr>
          <w:rFonts w:ascii="Times New Roman" w:hAnsi="Times New Roman" w:cs="Times New Roman"/>
          <w:color w:val="000000" w:themeColor="text1"/>
          <w:sz w:val="20"/>
          <w:szCs w:val="20"/>
        </w:rPr>
      </w:pPr>
      <w:r w:rsidRPr="00B566D8">
        <w:rPr>
          <w:rFonts w:ascii="Times New Roman" w:hAnsi="Times New Roman" w:cs="Times New Roman"/>
          <w:color w:val="000000" w:themeColor="text1"/>
          <w:sz w:val="20"/>
          <w:szCs w:val="20"/>
        </w:rPr>
        <w:t>Од</w:t>
      </w:r>
      <w:r w:rsidR="00686CC2">
        <w:rPr>
          <w:rFonts w:ascii="Times New Roman" w:hAnsi="Times New Roman" w:cs="Times New Roman"/>
          <w:color w:val="000000" w:themeColor="text1"/>
          <w:sz w:val="20"/>
          <w:szCs w:val="20"/>
        </w:rPr>
        <w:t>ночасно зі сповільненням попиту</w:t>
      </w:r>
      <w:r w:rsidRPr="00B566D8">
        <w:rPr>
          <w:rFonts w:ascii="Times New Roman" w:hAnsi="Times New Roman" w:cs="Times New Roman"/>
          <w:color w:val="000000" w:themeColor="text1"/>
          <w:sz w:val="20"/>
          <w:szCs w:val="20"/>
        </w:rPr>
        <w:t xml:space="preserve"> ефективність </w:t>
      </w:r>
      <w:r w:rsidR="00B566D8">
        <w:rPr>
          <w:rFonts w:ascii="Times New Roman" w:hAnsi="Times New Roman" w:cs="Times New Roman"/>
          <w:color w:val="000000" w:themeColor="text1"/>
          <w:sz w:val="20"/>
          <w:szCs w:val="20"/>
        </w:rPr>
        <w:t>паливно-енергетичного комплексу</w:t>
      </w:r>
      <w:r w:rsidRPr="00B566D8">
        <w:rPr>
          <w:rFonts w:ascii="Times New Roman" w:hAnsi="Times New Roman" w:cs="Times New Roman"/>
          <w:color w:val="000000" w:themeColor="text1"/>
          <w:sz w:val="20"/>
          <w:szCs w:val="20"/>
        </w:rPr>
        <w:t xml:space="preserve"> </w:t>
      </w:r>
      <w:r w:rsidR="001A64EE">
        <w:rPr>
          <w:rFonts w:ascii="Times New Roman" w:hAnsi="Times New Roman" w:cs="Times New Roman"/>
          <w:color w:val="000000" w:themeColor="text1"/>
          <w:sz w:val="20"/>
          <w:szCs w:val="20"/>
        </w:rPr>
        <w:t>зростає</w:t>
      </w:r>
      <w:r w:rsidR="000C40C8">
        <w:rPr>
          <w:rFonts w:ascii="Times New Roman" w:hAnsi="Times New Roman" w:cs="Times New Roman"/>
          <w:color w:val="000000" w:themeColor="text1"/>
          <w:sz w:val="20"/>
          <w:szCs w:val="20"/>
        </w:rPr>
        <w:t xml:space="preserve">, особливо </w:t>
      </w:r>
      <w:r w:rsidRPr="00B566D8">
        <w:rPr>
          <w:rFonts w:ascii="Times New Roman" w:hAnsi="Times New Roman" w:cs="Times New Roman"/>
          <w:color w:val="000000" w:themeColor="text1"/>
          <w:sz w:val="20"/>
          <w:szCs w:val="20"/>
        </w:rPr>
        <w:t>в розвинених країнах і стосується</w:t>
      </w:r>
      <w:r w:rsidR="000C40C8">
        <w:rPr>
          <w:rFonts w:ascii="Times New Roman" w:hAnsi="Times New Roman" w:cs="Times New Roman"/>
          <w:color w:val="000000" w:themeColor="text1"/>
          <w:sz w:val="20"/>
          <w:szCs w:val="20"/>
        </w:rPr>
        <w:t>, здебільшого,</w:t>
      </w:r>
      <w:r w:rsidRPr="00B566D8">
        <w:rPr>
          <w:rFonts w:ascii="Times New Roman" w:hAnsi="Times New Roman" w:cs="Times New Roman"/>
          <w:color w:val="000000" w:themeColor="text1"/>
          <w:sz w:val="20"/>
          <w:szCs w:val="20"/>
        </w:rPr>
        <w:t xml:space="preserve"> енергетичних ресурсів органічного походження. </w:t>
      </w:r>
      <w:r w:rsidR="000C40C8">
        <w:rPr>
          <w:rFonts w:ascii="Times New Roman" w:hAnsi="Times New Roman" w:cs="Times New Roman"/>
          <w:color w:val="000000" w:themeColor="text1"/>
          <w:sz w:val="20"/>
          <w:szCs w:val="20"/>
        </w:rPr>
        <w:t>Слід зазначити, що ч</w:t>
      </w:r>
      <w:r w:rsidRPr="00B566D8">
        <w:rPr>
          <w:rFonts w:ascii="Times New Roman" w:hAnsi="Times New Roman" w:cs="Times New Roman"/>
          <w:color w:val="000000" w:themeColor="text1"/>
          <w:sz w:val="20"/>
          <w:szCs w:val="20"/>
        </w:rPr>
        <w:t>инник обмеженості природних ресурсів</w:t>
      </w:r>
      <w:r w:rsidR="00474DF0">
        <w:rPr>
          <w:rFonts w:ascii="Times New Roman" w:hAnsi="Times New Roman" w:cs="Times New Roman"/>
          <w:color w:val="000000" w:themeColor="text1"/>
          <w:sz w:val="20"/>
          <w:szCs w:val="20"/>
        </w:rPr>
        <w:t>,</w:t>
      </w:r>
      <w:r w:rsidRPr="00B566D8">
        <w:rPr>
          <w:rFonts w:ascii="Times New Roman" w:hAnsi="Times New Roman" w:cs="Times New Roman"/>
          <w:color w:val="000000" w:themeColor="text1"/>
          <w:sz w:val="20"/>
          <w:szCs w:val="20"/>
        </w:rPr>
        <w:t xml:space="preserve"> </w:t>
      </w:r>
      <w:r w:rsidR="00474DF0">
        <w:rPr>
          <w:rFonts w:ascii="Times New Roman" w:hAnsi="Times New Roman" w:cs="Times New Roman"/>
          <w:color w:val="000000" w:themeColor="text1"/>
          <w:sz w:val="20"/>
          <w:szCs w:val="20"/>
        </w:rPr>
        <w:t>безперечно,</w:t>
      </w:r>
      <w:r w:rsidR="000F4375">
        <w:rPr>
          <w:rFonts w:ascii="Times New Roman" w:hAnsi="Times New Roman" w:cs="Times New Roman"/>
          <w:color w:val="000000" w:themeColor="text1"/>
          <w:sz w:val="20"/>
          <w:szCs w:val="20"/>
        </w:rPr>
        <w:t xml:space="preserve"> </w:t>
      </w:r>
      <w:r w:rsidRPr="00B566D8">
        <w:rPr>
          <w:rFonts w:ascii="Times New Roman" w:hAnsi="Times New Roman" w:cs="Times New Roman"/>
          <w:color w:val="000000" w:themeColor="text1"/>
          <w:sz w:val="20"/>
          <w:szCs w:val="20"/>
        </w:rPr>
        <w:t xml:space="preserve">впливає на формування цін на </w:t>
      </w:r>
      <w:r w:rsidR="000C40C8">
        <w:rPr>
          <w:rFonts w:ascii="Times New Roman" w:hAnsi="Times New Roman" w:cs="Times New Roman"/>
          <w:color w:val="000000" w:themeColor="text1"/>
          <w:sz w:val="20"/>
          <w:szCs w:val="20"/>
        </w:rPr>
        <w:t xml:space="preserve">ринку енергетики. Крім того, через те, що </w:t>
      </w:r>
      <w:r w:rsidRPr="00B566D8">
        <w:rPr>
          <w:rFonts w:ascii="Times New Roman" w:hAnsi="Times New Roman" w:cs="Times New Roman"/>
          <w:color w:val="000000" w:themeColor="text1"/>
          <w:sz w:val="20"/>
          <w:szCs w:val="20"/>
        </w:rPr>
        <w:t xml:space="preserve">енергетична галузь є фактором для більшості видів виробництва, відбувається </w:t>
      </w:r>
      <w:r w:rsidR="000C40C8">
        <w:rPr>
          <w:rFonts w:ascii="Times New Roman" w:hAnsi="Times New Roman" w:cs="Times New Roman"/>
          <w:color w:val="000000" w:themeColor="text1"/>
          <w:sz w:val="20"/>
          <w:szCs w:val="20"/>
        </w:rPr>
        <w:t>вплив ціноутворення енергетичних джерел на інші товарні групи</w:t>
      </w:r>
      <w:r w:rsidRPr="00B566D8">
        <w:rPr>
          <w:rFonts w:ascii="Times New Roman" w:hAnsi="Times New Roman" w:cs="Times New Roman"/>
          <w:color w:val="000000" w:themeColor="text1"/>
          <w:sz w:val="20"/>
          <w:szCs w:val="20"/>
        </w:rPr>
        <w:t xml:space="preserve">. </w:t>
      </w:r>
      <w:r w:rsidR="000F4375">
        <w:rPr>
          <w:rFonts w:ascii="Times New Roman" w:hAnsi="Times New Roman" w:cs="Times New Roman"/>
          <w:color w:val="000000" w:themeColor="text1"/>
          <w:sz w:val="20"/>
          <w:szCs w:val="20"/>
        </w:rPr>
        <w:t xml:space="preserve"> </w:t>
      </w:r>
      <w:r w:rsidR="000F4375">
        <w:rPr>
          <w:rFonts w:ascii="Times New Roman" w:hAnsi="Times New Roman" w:cs="Times New Roman"/>
          <w:sz w:val="20"/>
          <w:szCs w:val="20"/>
        </w:rPr>
        <w:t>Саме тому н</w:t>
      </w:r>
      <w:r w:rsidR="000F4375" w:rsidRPr="00297D45">
        <w:rPr>
          <w:rFonts w:ascii="Times New Roman" w:hAnsi="Times New Roman" w:cs="Times New Roman"/>
          <w:sz w:val="20"/>
          <w:szCs w:val="20"/>
        </w:rPr>
        <w:t>а фоні невтішних прогнозів</w:t>
      </w:r>
      <w:r w:rsidR="00474DF0">
        <w:rPr>
          <w:rFonts w:ascii="Times New Roman" w:hAnsi="Times New Roman" w:cs="Times New Roman"/>
          <w:sz w:val="20"/>
          <w:szCs w:val="20"/>
        </w:rPr>
        <w:t>,</w:t>
      </w:r>
      <w:r w:rsidR="000F4375" w:rsidRPr="00297D45">
        <w:rPr>
          <w:rFonts w:ascii="Times New Roman" w:hAnsi="Times New Roman" w:cs="Times New Roman"/>
          <w:sz w:val="20"/>
          <w:szCs w:val="20"/>
        </w:rPr>
        <w:t xml:space="preserve"> країни та корпорації вживають заходів для освоєння альтернативних джерел енергії, </w:t>
      </w:r>
      <w:r w:rsidR="000F4375">
        <w:rPr>
          <w:rFonts w:ascii="Times New Roman" w:hAnsi="Times New Roman" w:cs="Times New Roman"/>
          <w:sz w:val="20"/>
          <w:szCs w:val="20"/>
        </w:rPr>
        <w:t>що у свою чергу стимулює розвиток ринк</w:t>
      </w:r>
      <w:r w:rsidR="00474DF0">
        <w:rPr>
          <w:rFonts w:ascii="Times New Roman" w:hAnsi="Times New Roman" w:cs="Times New Roman"/>
          <w:sz w:val="20"/>
          <w:szCs w:val="20"/>
        </w:rPr>
        <w:t>у альтернативної енергетики</w:t>
      </w:r>
      <w:r w:rsidR="006205F3" w:rsidRPr="006205F3">
        <w:rPr>
          <w:rStyle w:val="a5"/>
          <w:rFonts w:ascii="Times New Roman" w:hAnsi="Times New Roman" w:cs="Times New Roman"/>
          <w:sz w:val="20"/>
          <w:szCs w:val="20"/>
          <w:lang w:val="ru-RU"/>
        </w:rPr>
        <w:t xml:space="preserve"> </w:t>
      </w:r>
      <w:r w:rsidR="006205F3" w:rsidRPr="006205F3">
        <w:rPr>
          <w:rFonts w:ascii="Times New Roman" w:hAnsi="Times New Roman" w:cs="Times New Roman"/>
          <w:color w:val="000000" w:themeColor="text1"/>
          <w:sz w:val="20"/>
          <w:szCs w:val="20"/>
          <w:lang w:val="ru-RU"/>
        </w:rPr>
        <w:t xml:space="preserve">[1, </w:t>
      </w:r>
      <w:r w:rsidR="006205F3">
        <w:rPr>
          <w:rFonts w:ascii="Times New Roman" w:hAnsi="Times New Roman" w:cs="Times New Roman"/>
          <w:color w:val="000000" w:themeColor="text1"/>
          <w:sz w:val="20"/>
          <w:szCs w:val="20"/>
          <w:lang w:val="en-US"/>
        </w:rPr>
        <w:t>C</w:t>
      </w:r>
      <w:r w:rsidR="006205F3" w:rsidRPr="006205F3">
        <w:rPr>
          <w:rFonts w:ascii="Times New Roman" w:hAnsi="Times New Roman" w:cs="Times New Roman"/>
          <w:color w:val="000000" w:themeColor="text1"/>
          <w:sz w:val="20"/>
          <w:szCs w:val="20"/>
          <w:lang w:val="ru-RU"/>
        </w:rPr>
        <w:t xml:space="preserve">. </w:t>
      </w:r>
      <w:proofErr w:type="gramStart"/>
      <w:r w:rsidR="006205F3" w:rsidRPr="006205F3">
        <w:rPr>
          <w:rFonts w:ascii="Times New Roman" w:hAnsi="Times New Roman" w:cs="Times New Roman"/>
          <w:color w:val="000000" w:themeColor="text1"/>
          <w:sz w:val="20"/>
          <w:szCs w:val="20"/>
          <w:lang w:val="ru-RU"/>
        </w:rPr>
        <w:t>119-120]</w:t>
      </w:r>
      <w:r w:rsidR="006205F3" w:rsidRPr="00B566D8">
        <w:rPr>
          <w:rFonts w:ascii="Times New Roman" w:hAnsi="Times New Roman" w:cs="Times New Roman"/>
          <w:color w:val="000000" w:themeColor="text1"/>
          <w:sz w:val="20"/>
          <w:szCs w:val="20"/>
        </w:rPr>
        <w:t>.</w:t>
      </w:r>
      <w:proofErr w:type="gramEnd"/>
    </w:p>
    <w:p w:rsidR="00262055" w:rsidRPr="000F4375" w:rsidRDefault="00A92B79" w:rsidP="000F4375">
      <w:pPr>
        <w:tabs>
          <w:tab w:val="left" w:pos="4287"/>
        </w:tabs>
        <w:spacing w:line="240" w:lineRule="auto"/>
        <w:rPr>
          <w:rFonts w:ascii="Times New Roman" w:hAnsi="Times New Roman" w:cs="Times New Roman"/>
          <w:color w:val="FF0000"/>
          <w:sz w:val="20"/>
          <w:szCs w:val="20"/>
        </w:rPr>
      </w:pPr>
      <w:r>
        <w:rPr>
          <w:rFonts w:ascii="Times New Roman" w:hAnsi="Times New Roman" w:cs="Times New Roman"/>
          <w:color w:val="000000" w:themeColor="text1"/>
          <w:sz w:val="20"/>
          <w:szCs w:val="20"/>
        </w:rPr>
        <w:t xml:space="preserve">Можливість мінімізації залежності від імпорту </w:t>
      </w:r>
      <w:proofErr w:type="spellStart"/>
      <w:r>
        <w:rPr>
          <w:rFonts w:ascii="Times New Roman" w:hAnsi="Times New Roman" w:cs="Times New Roman"/>
          <w:color w:val="000000" w:themeColor="text1"/>
          <w:sz w:val="20"/>
          <w:szCs w:val="20"/>
        </w:rPr>
        <w:t>дороговартісних</w:t>
      </w:r>
      <w:proofErr w:type="spellEnd"/>
      <w:r>
        <w:rPr>
          <w:rFonts w:ascii="Times New Roman" w:hAnsi="Times New Roman" w:cs="Times New Roman"/>
          <w:color w:val="000000" w:themeColor="text1"/>
          <w:sz w:val="20"/>
          <w:szCs w:val="20"/>
        </w:rPr>
        <w:t xml:space="preserve"> енергоресурсів сприяє популяризації відновлювальних джерел енергії, впровадження яких можливе практично в усіх регіонах світу</w:t>
      </w:r>
      <w:r w:rsidRPr="00A92B79">
        <w:rPr>
          <w:rFonts w:ascii="Times New Roman" w:hAnsi="Times New Roman" w:cs="Times New Roman"/>
          <w:color w:val="000000" w:themeColor="text1"/>
          <w:sz w:val="20"/>
          <w:szCs w:val="20"/>
        </w:rPr>
        <w:t xml:space="preserve">. Відповідно, від країни до країни існують </w:t>
      </w:r>
      <w:r w:rsidR="00297D45" w:rsidRPr="00A92B79">
        <w:rPr>
          <w:rFonts w:ascii="Times New Roman" w:hAnsi="Times New Roman" w:cs="Times New Roman"/>
          <w:color w:val="000000" w:themeColor="text1"/>
          <w:sz w:val="20"/>
          <w:szCs w:val="20"/>
        </w:rPr>
        <w:t>різні можливості освоєння</w:t>
      </w:r>
      <w:r w:rsidRPr="00A92B79">
        <w:rPr>
          <w:rFonts w:ascii="Times New Roman" w:hAnsi="Times New Roman" w:cs="Times New Roman"/>
          <w:color w:val="000000" w:themeColor="text1"/>
          <w:sz w:val="20"/>
          <w:szCs w:val="20"/>
        </w:rPr>
        <w:t xml:space="preserve"> альтернативних джерел енергії</w:t>
      </w:r>
      <w:r>
        <w:rPr>
          <w:rFonts w:ascii="Times New Roman" w:hAnsi="Times New Roman" w:cs="Times New Roman"/>
          <w:color w:val="000000" w:themeColor="text1"/>
          <w:sz w:val="20"/>
          <w:szCs w:val="20"/>
        </w:rPr>
        <w:t xml:space="preserve">, цим самим збільшуючи енергетичну незалежність від </w:t>
      </w:r>
      <w:proofErr w:type="spellStart"/>
      <w:r>
        <w:rPr>
          <w:rFonts w:ascii="Times New Roman" w:hAnsi="Times New Roman" w:cs="Times New Roman"/>
          <w:color w:val="000000" w:themeColor="text1"/>
          <w:sz w:val="20"/>
          <w:szCs w:val="20"/>
        </w:rPr>
        <w:t>волатильної</w:t>
      </w:r>
      <w:proofErr w:type="spellEnd"/>
      <w:r>
        <w:rPr>
          <w:rFonts w:ascii="Times New Roman" w:hAnsi="Times New Roman" w:cs="Times New Roman"/>
          <w:color w:val="000000" w:themeColor="text1"/>
          <w:sz w:val="20"/>
          <w:szCs w:val="20"/>
        </w:rPr>
        <w:t xml:space="preserve"> ціни імпорту традиційних джерел енергії.</w:t>
      </w:r>
      <w:r w:rsidR="00297D45" w:rsidRPr="00277495">
        <w:rPr>
          <w:rFonts w:ascii="Times New Roman" w:hAnsi="Times New Roman" w:cs="Times New Roman"/>
          <w:color w:val="FF0000"/>
          <w:sz w:val="20"/>
          <w:szCs w:val="20"/>
        </w:rPr>
        <w:t xml:space="preserve"> </w:t>
      </w:r>
      <w:r w:rsidR="00262055">
        <w:rPr>
          <w:rFonts w:ascii="Times New Roman" w:hAnsi="Times New Roman" w:cs="Times New Roman"/>
          <w:sz w:val="20"/>
          <w:szCs w:val="20"/>
          <w:shd w:val="clear" w:color="auto" w:fill="FFFFFF"/>
        </w:rPr>
        <w:t>І хоча більшість ВДЕ не підлягають експорту через складність акумулювання та транспортування на світовий ринок, більшість</w:t>
      </w:r>
      <w:r w:rsidR="00262055" w:rsidRPr="007B30E1">
        <w:rPr>
          <w:rFonts w:ascii="Times New Roman" w:hAnsi="Times New Roman" w:cs="Times New Roman"/>
          <w:sz w:val="20"/>
          <w:szCs w:val="20"/>
          <w:shd w:val="clear" w:color="auto" w:fill="FFFFFF"/>
        </w:rPr>
        <w:t xml:space="preserve"> країн активно підтримують розвиток технологій в галузі альтернативної енергетики. </w:t>
      </w:r>
      <w:r w:rsidR="00474DF0">
        <w:rPr>
          <w:rFonts w:ascii="Times New Roman" w:hAnsi="Times New Roman" w:cs="Times New Roman"/>
          <w:sz w:val="20"/>
          <w:szCs w:val="20"/>
          <w:shd w:val="clear" w:color="auto" w:fill="FFFFFF"/>
        </w:rPr>
        <w:t xml:space="preserve">Доказом цього, є те, що з 1980 р. до 2010 р. </w:t>
      </w:r>
      <w:r w:rsidR="00474DF0" w:rsidRPr="007B30E1">
        <w:rPr>
          <w:rFonts w:ascii="Times New Roman" w:hAnsi="Times New Roman" w:cs="Times New Roman"/>
          <w:sz w:val="20"/>
          <w:szCs w:val="20"/>
          <w:shd w:val="clear" w:color="auto" w:fill="FFFFFF"/>
        </w:rPr>
        <w:t xml:space="preserve"> </w:t>
      </w:r>
      <w:r w:rsidR="00474DF0">
        <w:rPr>
          <w:rFonts w:ascii="Times New Roman" w:hAnsi="Times New Roman" w:cs="Times New Roman"/>
          <w:sz w:val="20"/>
          <w:szCs w:val="20"/>
          <w:shd w:val="clear" w:color="auto" w:fill="FFFFFF"/>
        </w:rPr>
        <w:t>п</w:t>
      </w:r>
      <w:r w:rsidR="00262055" w:rsidRPr="007B30E1">
        <w:rPr>
          <w:rFonts w:ascii="Times New Roman" w:hAnsi="Times New Roman" w:cs="Times New Roman"/>
          <w:sz w:val="20"/>
          <w:szCs w:val="20"/>
          <w:shd w:val="clear" w:color="auto" w:fill="FFFFFF"/>
        </w:rPr>
        <w:t xml:space="preserve">отужність </w:t>
      </w:r>
      <w:r w:rsidR="000F4375">
        <w:rPr>
          <w:rFonts w:ascii="Times New Roman" w:hAnsi="Times New Roman" w:cs="Times New Roman"/>
          <w:sz w:val="20"/>
          <w:szCs w:val="20"/>
          <w:shd w:val="clear" w:color="auto" w:fill="FFFFFF"/>
        </w:rPr>
        <w:t>електростанцій</w:t>
      </w:r>
      <w:r w:rsidR="00262055" w:rsidRPr="007B30E1">
        <w:rPr>
          <w:rFonts w:ascii="Times New Roman" w:hAnsi="Times New Roman" w:cs="Times New Roman"/>
          <w:sz w:val="20"/>
          <w:szCs w:val="20"/>
          <w:shd w:val="clear" w:color="auto" w:fill="FFFFFF"/>
        </w:rPr>
        <w:t xml:space="preserve"> </w:t>
      </w:r>
      <w:r w:rsidR="00474DF0">
        <w:rPr>
          <w:rFonts w:ascii="Times New Roman" w:hAnsi="Times New Roman" w:cs="Times New Roman"/>
          <w:sz w:val="20"/>
          <w:szCs w:val="20"/>
          <w:shd w:val="clear" w:color="auto" w:fill="FFFFFF"/>
        </w:rPr>
        <w:t>на базі</w:t>
      </w:r>
      <w:r w:rsidR="00262055" w:rsidRPr="007B30E1">
        <w:rPr>
          <w:rFonts w:ascii="Times New Roman" w:hAnsi="Times New Roman" w:cs="Times New Roman"/>
          <w:sz w:val="20"/>
          <w:szCs w:val="20"/>
          <w:shd w:val="clear" w:color="auto" w:fill="FFFFFF"/>
        </w:rPr>
        <w:t xml:space="preserve"> відновлюваних джерел </w:t>
      </w:r>
      <w:r w:rsidR="00474DF0">
        <w:rPr>
          <w:rFonts w:ascii="Times New Roman" w:hAnsi="Times New Roman" w:cs="Times New Roman"/>
          <w:sz w:val="20"/>
          <w:szCs w:val="20"/>
          <w:shd w:val="clear" w:color="auto" w:fill="FFFFFF"/>
        </w:rPr>
        <w:t>зросла вдвічі</w:t>
      </w:r>
      <w:r w:rsidR="00BC7926">
        <w:rPr>
          <w:rFonts w:ascii="Times New Roman" w:hAnsi="Times New Roman" w:cs="Times New Roman"/>
          <w:sz w:val="20"/>
          <w:szCs w:val="20"/>
          <w:shd w:val="clear" w:color="auto" w:fill="FFFFFF"/>
        </w:rPr>
        <w:t xml:space="preserve"> </w:t>
      </w:r>
      <w:r w:rsidR="00BC7926" w:rsidRPr="006205F3">
        <w:rPr>
          <w:rFonts w:ascii="Times New Roman" w:hAnsi="Times New Roman" w:cs="Times New Roman"/>
          <w:sz w:val="20"/>
          <w:szCs w:val="20"/>
          <w:shd w:val="clear" w:color="auto" w:fill="FFFFFF"/>
        </w:rPr>
        <w:t>[</w:t>
      </w:r>
      <w:r w:rsidR="006205F3" w:rsidRPr="006205F3">
        <w:rPr>
          <w:rFonts w:ascii="Times New Roman" w:hAnsi="Times New Roman" w:cs="Times New Roman"/>
          <w:sz w:val="20"/>
          <w:szCs w:val="20"/>
          <w:shd w:val="clear" w:color="auto" w:fill="FFFFFF"/>
        </w:rPr>
        <w:t>3</w:t>
      </w:r>
      <w:r w:rsidR="00BC7926" w:rsidRPr="006205F3">
        <w:rPr>
          <w:rFonts w:ascii="Times New Roman" w:hAnsi="Times New Roman" w:cs="Times New Roman"/>
          <w:sz w:val="20"/>
          <w:szCs w:val="20"/>
          <w:shd w:val="clear" w:color="auto" w:fill="FFFFFF"/>
        </w:rPr>
        <w:t>]</w:t>
      </w:r>
      <w:r w:rsidR="00474DF0">
        <w:rPr>
          <w:rFonts w:ascii="Times New Roman" w:hAnsi="Times New Roman" w:cs="Times New Roman"/>
          <w:sz w:val="20"/>
          <w:szCs w:val="20"/>
          <w:shd w:val="clear" w:color="auto" w:fill="FFFFFF"/>
        </w:rPr>
        <w:t>.</w:t>
      </w:r>
    </w:p>
    <w:p w:rsidR="006D2091" w:rsidRDefault="006D2091" w:rsidP="00474DF0">
      <w:pPr>
        <w:tabs>
          <w:tab w:val="left" w:pos="4287"/>
        </w:tabs>
        <w:spacing w:line="240" w:lineRule="auto"/>
        <w:rPr>
          <w:rFonts w:ascii="Times New Roman" w:hAnsi="Times New Roman" w:cs="Times New Roman"/>
          <w:sz w:val="20"/>
          <w:szCs w:val="20"/>
        </w:rPr>
      </w:pPr>
      <w:r w:rsidRPr="006D2091">
        <w:rPr>
          <w:rFonts w:ascii="Times New Roman" w:hAnsi="Times New Roman" w:cs="Times New Roman"/>
          <w:sz w:val="20"/>
          <w:szCs w:val="20"/>
        </w:rPr>
        <w:t>За</w:t>
      </w:r>
      <w:r>
        <w:rPr>
          <w:rFonts w:ascii="Times New Roman" w:hAnsi="Times New Roman" w:cs="Times New Roman"/>
          <w:sz w:val="20"/>
          <w:szCs w:val="20"/>
        </w:rPr>
        <w:t xml:space="preserve"> останніми даними</w:t>
      </w:r>
      <w:r w:rsidRPr="006D2091">
        <w:rPr>
          <w:rFonts w:ascii="Times New Roman" w:hAnsi="Times New Roman" w:cs="Times New Roman"/>
          <w:sz w:val="20"/>
          <w:szCs w:val="20"/>
        </w:rPr>
        <w:t xml:space="preserve"> </w:t>
      </w:r>
      <w:r>
        <w:rPr>
          <w:rFonts w:ascii="Times New Roman" w:hAnsi="Times New Roman" w:cs="Times New Roman"/>
          <w:sz w:val="20"/>
          <w:szCs w:val="20"/>
          <w:lang w:val="en-US"/>
        </w:rPr>
        <w:t>World</w:t>
      </w:r>
      <w:r w:rsidRPr="006D2091">
        <w:rPr>
          <w:rFonts w:ascii="Times New Roman" w:hAnsi="Times New Roman" w:cs="Times New Roman"/>
          <w:sz w:val="20"/>
          <w:szCs w:val="20"/>
        </w:rPr>
        <w:t xml:space="preserve"> </w:t>
      </w:r>
      <w:r>
        <w:rPr>
          <w:rFonts w:ascii="Times New Roman" w:hAnsi="Times New Roman" w:cs="Times New Roman"/>
          <w:sz w:val="20"/>
          <w:szCs w:val="20"/>
          <w:lang w:val="en-US"/>
        </w:rPr>
        <w:t>Energy</w:t>
      </w:r>
      <w:r w:rsidRPr="006D2091">
        <w:rPr>
          <w:rFonts w:ascii="Times New Roman" w:hAnsi="Times New Roman" w:cs="Times New Roman"/>
          <w:sz w:val="20"/>
          <w:szCs w:val="20"/>
        </w:rPr>
        <w:t xml:space="preserve"> </w:t>
      </w:r>
      <w:r>
        <w:rPr>
          <w:rFonts w:ascii="Times New Roman" w:hAnsi="Times New Roman" w:cs="Times New Roman"/>
          <w:sz w:val="20"/>
          <w:szCs w:val="20"/>
          <w:lang w:val="en-US"/>
        </w:rPr>
        <w:t>Yearbook</w:t>
      </w:r>
      <w:r w:rsidRPr="006D2091">
        <w:rPr>
          <w:rFonts w:ascii="Times New Roman" w:hAnsi="Times New Roman" w:cs="Times New Roman"/>
          <w:sz w:val="20"/>
          <w:szCs w:val="20"/>
        </w:rPr>
        <w:t>, станом на 2017 р.</w:t>
      </w:r>
      <w:r>
        <w:rPr>
          <w:rFonts w:ascii="Times New Roman" w:hAnsi="Times New Roman" w:cs="Times New Roman"/>
          <w:sz w:val="20"/>
          <w:szCs w:val="20"/>
        </w:rPr>
        <w:t xml:space="preserve"> </w:t>
      </w:r>
      <w:r w:rsidR="007219DA" w:rsidRPr="000F15D1">
        <w:rPr>
          <w:rFonts w:ascii="Times New Roman" w:hAnsi="Times New Roman" w:cs="Times New Roman"/>
          <w:sz w:val="20"/>
          <w:szCs w:val="20"/>
        </w:rPr>
        <w:t>частка використа</w:t>
      </w:r>
      <w:r w:rsidR="00A92B79">
        <w:rPr>
          <w:rFonts w:ascii="Times New Roman" w:hAnsi="Times New Roman" w:cs="Times New Roman"/>
          <w:sz w:val="20"/>
          <w:szCs w:val="20"/>
        </w:rPr>
        <w:t xml:space="preserve">ння ВДЕ </w:t>
      </w:r>
      <w:r w:rsidR="007219DA" w:rsidRPr="000F15D1">
        <w:rPr>
          <w:rFonts w:ascii="Times New Roman" w:hAnsi="Times New Roman" w:cs="Times New Roman"/>
          <w:sz w:val="20"/>
          <w:szCs w:val="20"/>
        </w:rPr>
        <w:t xml:space="preserve">у світі </w:t>
      </w:r>
      <w:r w:rsidR="00474DF0">
        <w:rPr>
          <w:rFonts w:ascii="Times New Roman" w:hAnsi="Times New Roman" w:cs="Times New Roman"/>
          <w:sz w:val="20"/>
          <w:szCs w:val="20"/>
        </w:rPr>
        <w:t xml:space="preserve">сумарно становить </w:t>
      </w:r>
      <w:r w:rsidR="007219DA">
        <w:rPr>
          <w:rFonts w:ascii="Times New Roman" w:hAnsi="Times New Roman" w:cs="Times New Roman"/>
          <w:sz w:val="20"/>
          <w:szCs w:val="20"/>
        </w:rPr>
        <w:t xml:space="preserve">25% </w:t>
      </w:r>
      <w:r w:rsidR="00474DF0">
        <w:rPr>
          <w:rFonts w:ascii="Times New Roman" w:hAnsi="Times New Roman" w:cs="Times New Roman"/>
          <w:sz w:val="20"/>
          <w:szCs w:val="20"/>
        </w:rPr>
        <w:t xml:space="preserve">світового </w:t>
      </w:r>
      <w:r w:rsidR="007219DA">
        <w:rPr>
          <w:rFonts w:ascii="Times New Roman" w:hAnsi="Times New Roman" w:cs="Times New Roman"/>
          <w:sz w:val="20"/>
          <w:szCs w:val="20"/>
        </w:rPr>
        <w:t xml:space="preserve">виробництва електроенергії </w:t>
      </w:r>
      <w:r w:rsidR="007219DA" w:rsidRPr="000F15D1">
        <w:rPr>
          <w:rFonts w:ascii="Times New Roman" w:hAnsi="Times New Roman" w:cs="Times New Roman"/>
          <w:color w:val="6F6F6F"/>
          <w:sz w:val="20"/>
          <w:szCs w:val="20"/>
          <w:shd w:val="clear" w:color="auto" w:fill="FFFFFF"/>
        </w:rPr>
        <w:t>т</w:t>
      </w:r>
      <w:r w:rsidR="007219DA" w:rsidRPr="000F15D1">
        <w:rPr>
          <w:rFonts w:ascii="Times New Roman" w:hAnsi="Times New Roman" w:cs="Times New Roman"/>
          <w:sz w:val="20"/>
          <w:szCs w:val="20"/>
        </w:rPr>
        <w:t>а має позитивний тренд подальшого розвитку</w:t>
      </w:r>
      <w:r w:rsidR="006205F3">
        <w:rPr>
          <w:rFonts w:ascii="Times New Roman" w:hAnsi="Times New Roman" w:cs="Times New Roman"/>
          <w:sz w:val="20"/>
          <w:szCs w:val="20"/>
        </w:rPr>
        <w:t xml:space="preserve"> </w:t>
      </w:r>
      <w:r w:rsidR="006205F3" w:rsidRPr="006205F3">
        <w:rPr>
          <w:rFonts w:ascii="Times New Roman" w:hAnsi="Times New Roman" w:cs="Times New Roman"/>
          <w:sz w:val="20"/>
          <w:szCs w:val="20"/>
          <w:lang w:val="ru-RU"/>
        </w:rPr>
        <w:t>[10],</w:t>
      </w:r>
      <w:r>
        <w:rPr>
          <w:rFonts w:ascii="Times New Roman" w:hAnsi="Times New Roman" w:cs="Times New Roman"/>
          <w:sz w:val="20"/>
          <w:szCs w:val="20"/>
        </w:rPr>
        <w:t xml:space="preserve"> (див.рис.1)</w:t>
      </w:r>
      <w:r w:rsidR="00474DF0">
        <w:rPr>
          <w:rFonts w:ascii="Times New Roman" w:hAnsi="Times New Roman" w:cs="Times New Roman"/>
          <w:sz w:val="20"/>
          <w:szCs w:val="20"/>
        </w:rPr>
        <w:t>:</w:t>
      </w:r>
    </w:p>
    <w:p w:rsidR="00474DF0" w:rsidRPr="00474DF0" w:rsidRDefault="00474DF0" w:rsidP="00474DF0">
      <w:pPr>
        <w:tabs>
          <w:tab w:val="left" w:pos="4287"/>
        </w:tabs>
        <w:spacing w:line="240" w:lineRule="auto"/>
        <w:rPr>
          <w:rFonts w:ascii="Times New Roman" w:hAnsi="Times New Roman" w:cs="Times New Roman"/>
          <w:sz w:val="20"/>
          <w:szCs w:val="20"/>
        </w:rPr>
      </w:pPr>
    </w:p>
    <w:p w:rsidR="00EF2145" w:rsidRDefault="00EF2145" w:rsidP="00474DF0">
      <w:pPr>
        <w:tabs>
          <w:tab w:val="left" w:pos="4287"/>
        </w:tabs>
        <w:spacing w:line="240" w:lineRule="auto"/>
        <w:ind w:firstLine="0"/>
        <w:jc w:val="center"/>
        <w:rPr>
          <w:rFonts w:ascii="Times New Roman" w:hAnsi="Times New Roman" w:cs="Times New Roman"/>
          <w:sz w:val="20"/>
          <w:szCs w:val="20"/>
        </w:rPr>
      </w:pPr>
      <w:r>
        <w:rPr>
          <w:rFonts w:ascii="Times New Roman" w:hAnsi="Times New Roman" w:cs="Times New Roman"/>
          <w:noProof/>
          <w:sz w:val="20"/>
          <w:szCs w:val="20"/>
          <w:lang w:eastAsia="uk-UA"/>
        </w:rPr>
        <w:drawing>
          <wp:inline distT="0" distB="0" distL="0" distR="0" wp14:anchorId="1B01B6FE">
            <wp:extent cx="4795693" cy="2433099"/>
            <wp:effectExtent l="19050" t="19050" r="24130" b="2476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6078" cy="2494176"/>
                    </a:xfrm>
                    <a:prstGeom prst="rect">
                      <a:avLst/>
                    </a:prstGeom>
                    <a:noFill/>
                    <a:ln w="19050">
                      <a:solidFill>
                        <a:schemeClr val="tx1"/>
                      </a:solidFill>
                    </a:ln>
                  </pic:spPr>
                </pic:pic>
              </a:graphicData>
            </a:graphic>
          </wp:inline>
        </w:drawing>
      </w:r>
    </w:p>
    <w:p w:rsidR="007219DA" w:rsidRPr="00643B30" w:rsidRDefault="005D0E8C" w:rsidP="00474DF0">
      <w:pPr>
        <w:tabs>
          <w:tab w:val="left" w:pos="4287"/>
        </w:tabs>
        <w:spacing w:line="240" w:lineRule="auto"/>
        <w:jc w:val="left"/>
        <w:rPr>
          <w:rFonts w:ascii="Times New Roman" w:hAnsi="Times New Roman" w:cs="Times New Roman"/>
          <w:b/>
          <w:sz w:val="20"/>
          <w:szCs w:val="20"/>
        </w:rPr>
      </w:pPr>
      <w:r w:rsidRPr="00643B30">
        <w:rPr>
          <w:rFonts w:ascii="Times New Roman" w:hAnsi="Times New Roman" w:cs="Times New Roman"/>
          <w:b/>
          <w:sz w:val="20"/>
          <w:szCs w:val="20"/>
        </w:rPr>
        <w:t>Рис. 1. С</w:t>
      </w:r>
      <w:r w:rsidR="00C14A27">
        <w:rPr>
          <w:rFonts w:ascii="Times New Roman" w:hAnsi="Times New Roman" w:cs="Times New Roman"/>
          <w:b/>
          <w:sz w:val="20"/>
          <w:szCs w:val="20"/>
        </w:rPr>
        <w:t xml:space="preserve">труктура світового виробництва </w:t>
      </w:r>
      <w:r w:rsidRPr="00643B30">
        <w:rPr>
          <w:rFonts w:ascii="Times New Roman" w:hAnsi="Times New Roman" w:cs="Times New Roman"/>
          <w:b/>
          <w:sz w:val="20"/>
          <w:szCs w:val="20"/>
        </w:rPr>
        <w:t>паливно-енергетичних ресурсів у 2017р., (%).</w:t>
      </w:r>
    </w:p>
    <w:p w:rsidR="005D0E8C" w:rsidRDefault="008C2E79" w:rsidP="00474DF0">
      <w:pPr>
        <w:tabs>
          <w:tab w:val="left" w:pos="4287"/>
        </w:tabs>
        <w:spacing w:line="240" w:lineRule="auto"/>
        <w:ind w:firstLine="0"/>
        <w:rPr>
          <w:rFonts w:ascii="Times New Roman" w:hAnsi="Times New Roman" w:cs="Times New Roman"/>
          <w:i/>
          <w:sz w:val="20"/>
          <w:szCs w:val="20"/>
          <w:lang w:val="ru-RU"/>
        </w:rPr>
      </w:pPr>
      <w:r w:rsidRPr="00643B30">
        <w:rPr>
          <w:rFonts w:ascii="Times New Roman" w:hAnsi="Times New Roman" w:cs="Times New Roman"/>
          <w:i/>
          <w:sz w:val="20"/>
          <w:szCs w:val="20"/>
        </w:rPr>
        <w:t xml:space="preserve">Примітка. </w:t>
      </w:r>
      <w:r w:rsidR="00643B30" w:rsidRPr="00643B30">
        <w:rPr>
          <w:rFonts w:ascii="Times New Roman" w:hAnsi="Times New Roman" w:cs="Times New Roman"/>
          <w:i/>
          <w:sz w:val="20"/>
          <w:szCs w:val="20"/>
        </w:rPr>
        <w:t>Складено</w:t>
      </w:r>
      <w:r w:rsidRPr="00643B30">
        <w:rPr>
          <w:rFonts w:ascii="Times New Roman" w:hAnsi="Times New Roman" w:cs="Times New Roman"/>
          <w:i/>
          <w:sz w:val="20"/>
          <w:szCs w:val="20"/>
        </w:rPr>
        <w:t xml:space="preserve"> автором за даними </w:t>
      </w:r>
      <w:r w:rsidRPr="00643B30">
        <w:rPr>
          <w:rFonts w:ascii="Times New Roman" w:hAnsi="Times New Roman" w:cs="Times New Roman"/>
          <w:i/>
          <w:sz w:val="20"/>
          <w:szCs w:val="20"/>
          <w:lang w:val="en-US"/>
        </w:rPr>
        <w:t>World</w:t>
      </w:r>
      <w:r w:rsidRPr="00643B30">
        <w:rPr>
          <w:rFonts w:ascii="Times New Roman" w:hAnsi="Times New Roman" w:cs="Times New Roman"/>
          <w:i/>
          <w:sz w:val="20"/>
          <w:szCs w:val="20"/>
        </w:rPr>
        <w:t xml:space="preserve"> </w:t>
      </w:r>
      <w:r w:rsidRPr="00643B30">
        <w:rPr>
          <w:rFonts w:ascii="Times New Roman" w:hAnsi="Times New Roman" w:cs="Times New Roman"/>
          <w:i/>
          <w:sz w:val="20"/>
          <w:szCs w:val="20"/>
          <w:lang w:val="en-US"/>
        </w:rPr>
        <w:t>Energy</w:t>
      </w:r>
      <w:r w:rsidRPr="00643B30">
        <w:rPr>
          <w:rFonts w:ascii="Times New Roman" w:hAnsi="Times New Roman" w:cs="Times New Roman"/>
          <w:i/>
          <w:sz w:val="20"/>
          <w:szCs w:val="20"/>
        </w:rPr>
        <w:t xml:space="preserve"> </w:t>
      </w:r>
      <w:r w:rsidRPr="00643B30">
        <w:rPr>
          <w:rFonts w:ascii="Times New Roman" w:hAnsi="Times New Roman" w:cs="Times New Roman"/>
          <w:i/>
          <w:sz w:val="20"/>
          <w:szCs w:val="20"/>
          <w:lang w:val="en-US"/>
        </w:rPr>
        <w:t>Yearbook</w:t>
      </w:r>
      <w:r w:rsidR="00643B30">
        <w:rPr>
          <w:rFonts w:ascii="Times New Roman" w:hAnsi="Times New Roman" w:cs="Times New Roman"/>
          <w:i/>
          <w:sz w:val="20"/>
          <w:szCs w:val="20"/>
          <w:lang w:val="ru-RU"/>
        </w:rPr>
        <w:t>.</w:t>
      </w:r>
    </w:p>
    <w:p w:rsidR="00BC7926" w:rsidRPr="00474DF0" w:rsidRDefault="00BC7926" w:rsidP="00474DF0">
      <w:pPr>
        <w:tabs>
          <w:tab w:val="left" w:pos="4287"/>
        </w:tabs>
        <w:spacing w:line="240" w:lineRule="auto"/>
        <w:ind w:firstLine="0"/>
        <w:rPr>
          <w:rFonts w:ascii="Times New Roman" w:hAnsi="Times New Roman" w:cs="Times New Roman"/>
          <w:i/>
          <w:sz w:val="20"/>
          <w:szCs w:val="20"/>
          <w:lang w:val="ru-RU"/>
        </w:rPr>
      </w:pPr>
    </w:p>
    <w:p w:rsidR="00474DF0" w:rsidRDefault="00474DF0" w:rsidP="00474DF0">
      <w:pPr>
        <w:tabs>
          <w:tab w:val="left" w:pos="4287"/>
        </w:tabs>
        <w:spacing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Так, можна зробити висновки, що серед основних видів ВДЕ, гідроенергетика (16%) є найбільш</w:t>
      </w:r>
      <w:r w:rsidRPr="00277495">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використовуваним альтернативним ресурсом.</w:t>
      </w:r>
      <w:r w:rsidRPr="006D2091">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Така значна частка </w:t>
      </w:r>
      <w:r w:rsidR="00C23E16">
        <w:rPr>
          <w:rFonts w:ascii="Times New Roman" w:hAnsi="Times New Roman" w:cs="Times New Roman"/>
          <w:sz w:val="20"/>
          <w:szCs w:val="20"/>
          <w:shd w:val="clear" w:color="auto" w:fill="FFFFFF"/>
        </w:rPr>
        <w:t xml:space="preserve">вироблення енергії за </w:t>
      </w:r>
      <w:r>
        <w:rPr>
          <w:rFonts w:ascii="Times New Roman" w:hAnsi="Times New Roman" w:cs="Times New Roman"/>
          <w:sz w:val="20"/>
          <w:szCs w:val="20"/>
          <w:shd w:val="clear" w:color="auto" w:fill="FFFFFF"/>
        </w:rPr>
        <w:t xml:space="preserve">гідроенергетики пояснюється поширеністю використання приливних, хвильових електростанцій та енергії гірських річок. </w:t>
      </w:r>
      <w:r w:rsidRPr="00277495">
        <w:rPr>
          <w:rFonts w:ascii="Times New Roman" w:hAnsi="Times New Roman" w:cs="Times New Roman"/>
          <w:sz w:val="20"/>
          <w:szCs w:val="20"/>
          <w:shd w:val="clear" w:color="auto" w:fill="FFFFFF"/>
        </w:rPr>
        <w:t>Основною їх перевагою є можливість децентралізованого постачання енергії та відсутність шкоди навколишньому середовищу.</w:t>
      </w:r>
      <w:r>
        <w:rPr>
          <w:rFonts w:ascii="Times New Roman" w:hAnsi="Times New Roman" w:cs="Times New Roman"/>
          <w:sz w:val="20"/>
          <w:szCs w:val="20"/>
          <w:shd w:val="clear" w:color="auto" w:fill="FFFFFF"/>
        </w:rPr>
        <w:t xml:space="preserve">  </w:t>
      </w:r>
    </w:p>
    <w:p w:rsidR="00474DF0" w:rsidRPr="00C23E16" w:rsidRDefault="00474DF0" w:rsidP="00474DF0">
      <w:pPr>
        <w:tabs>
          <w:tab w:val="left" w:pos="4287"/>
        </w:tabs>
        <w:spacing w:line="240" w:lineRule="auto"/>
        <w:rPr>
          <w:rFonts w:ascii="Times New Roman" w:hAnsi="Times New Roman" w:cs="Times New Roman"/>
          <w:sz w:val="20"/>
          <w:szCs w:val="20"/>
          <w:shd w:val="clear" w:color="auto" w:fill="FFFFFF"/>
          <w:lang w:val="ru-RU"/>
        </w:rPr>
      </w:pPr>
      <w:r>
        <w:rPr>
          <w:rFonts w:ascii="Times New Roman" w:hAnsi="Times New Roman" w:cs="Times New Roman"/>
          <w:sz w:val="20"/>
          <w:szCs w:val="20"/>
          <w:shd w:val="clear" w:color="auto" w:fill="FFFFFF"/>
        </w:rPr>
        <w:lastRenderedPageBreak/>
        <w:t>У свою чергу, г</w:t>
      </w:r>
      <w:r w:rsidRPr="00277495">
        <w:rPr>
          <w:rFonts w:ascii="Times New Roman" w:hAnsi="Times New Roman" w:cs="Times New Roman"/>
          <w:sz w:val="20"/>
          <w:szCs w:val="20"/>
          <w:shd w:val="clear" w:color="auto" w:fill="FFFFFF"/>
        </w:rPr>
        <w:t>еотермальна енергетика</w:t>
      </w:r>
      <w:r>
        <w:rPr>
          <w:rFonts w:ascii="Times New Roman" w:hAnsi="Times New Roman" w:cs="Times New Roman"/>
          <w:sz w:val="20"/>
          <w:szCs w:val="20"/>
          <w:shd w:val="clear" w:color="auto" w:fill="FFFFFF"/>
        </w:rPr>
        <w:t xml:space="preserve"> найбільш поширена у </w:t>
      </w:r>
      <w:r w:rsidRPr="00277495">
        <w:rPr>
          <w:rFonts w:ascii="Times New Roman" w:hAnsi="Times New Roman" w:cs="Times New Roman"/>
          <w:sz w:val="20"/>
          <w:szCs w:val="20"/>
          <w:shd w:val="clear" w:color="auto" w:fill="FFFFFF"/>
        </w:rPr>
        <w:t xml:space="preserve">Франції, США, </w:t>
      </w:r>
      <w:r>
        <w:rPr>
          <w:rFonts w:ascii="Times New Roman" w:hAnsi="Times New Roman" w:cs="Times New Roman"/>
          <w:sz w:val="20"/>
          <w:szCs w:val="20"/>
          <w:shd w:val="clear" w:color="auto" w:fill="FFFFFF"/>
        </w:rPr>
        <w:t>Новій Зеландії, Угорщині, де можливе впровадження технологій циркуляції глибинних термальних вод. Слід також звернути увагу на поширення впровадження біомаси як альтернативного джерела енергії через доступ</w:t>
      </w:r>
      <w:r w:rsidR="00C23E16">
        <w:rPr>
          <w:rFonts w:ascii="Times New Roman" w:hAnsi="Times New Roman" w:cs="Times New Roman"/>
          <w:sz w:val="20"/>
          <w:szCs w:val="20"/>
          <w:shd w:val="clear" w:color="auto" w:fill="FFFFFF"/>
        </w:rPr>
        <w:t>ність</w:t>
      </w:r>
      <w:r>
        <w:rPr>
          <w:rFonts w:ascii="Times New Roman" w:hAnsi="Times New Roman" w:cs="Times New Roman"/>
          <w:sz w:val="20"/>
          <w:szCs w:val="20"/>
          <w:shd w:val="clear" w:color="auto" w:fill="FFFFFF"/>
        </w:rPr>
        <w:t xml:space="preserve"> у всіх куточках світу. </w:t>
      </w:r>
      <w:r w:rsidRPr="00277495">
        <w:rPr>
          <w:rFonts w:ascii="Times New Roman" w:hAnsi="Times New Roman" w:cs="Times New Roman"/>
          <w:sz w:val="20"/>
          <w:szCs w:val="20"/>
          <w:shd w:val="clear" w:color="auto" w:fill="FFFFFF"/>
        </w:rPr>
        <w:t xml:space="preserve">Світовий ринок вітроенергетики представлений здебільшого </w:t>
      </w:r>
      <w:proofErr w:type="spellStart"/>
      <w:r w:rsidRPr="00277495">
        <w:rPr>
          <w:rFonts w:ascii="Times New Roman" w:hAnsi="Times New Roman" w:cs="Times New Roman"/>
          <w:sz w:val="20"/>
          <w:szCs w:val="20"/>
          <w:shd w:val="clear" w:color="auto" w:fill="FFFFFF"/>
        </w:rPr>
        <w:t>вітрогенераторами</w:t>
      </w:r>
      <w:proofErr w:type="spellEnd"/>
      <w:r w:rsidRPr="00277495">
        <w:rPr>
          <w:rFonts w:ascii="Times New Roman" w:hAnsi="Times New Roman" w:cs="Times New Roman"/>
          <w:sz w:val="20"/>
          <w:szCs w:val="20"/>
          <w:shd w:val="clear" w:color="auto" w:fill="FFFFFF"/>
        </w:rPr>
        <w:t xml:space="preserve"> різної потужності</w:t>
      </w:r>
      <w:r>
        <w:rPr>
          <w:rFonts w:ascii="Times New Roman" w:hAnsi="Times New Roman" w:cs="Times New Roman"/>
          <w:sz w:val="20"/>
          <w:szCs w:val="20"/>
          <w:shd w:val="clear" w:color="auto" w:fill="FFFFFF"/>
        </w:rPr>
        <w:t xml:space="preserve">, які впроваджені </w:t>
      </w:r>
      <w:r w:rsidRPr="00277495">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у</w:t>
      </w:r>
      <w:r w:rsidRPr="00277495">
        <w:rPr>
          <w:rFonts w:ascii="Times New Roman" w:hAnsi="Times New Roman" w:cs="Times New Roman"/>
          <w:sz w:val="20"/>
          <w:szCs w:val="20"/>
          <w:shd w:val="clear" w:color="auto" w:fill="FFFFFF"/>
        </w:rPr>
        <w:t xml:space="preserve"> більш</w:t>
      </w:r>
      <w:r>
        <w:rPr>
          <w:rFonts w:ascii="Times New Roman" w:hAnsi="Times New Roman" w:cs="Times New Roman"/>
          <w:sz w:val="20"/>
          <w:szCs w:val="20"/>
          <w:shd w:val="clear" w:color="auto" w:fill="FFFFFF"/>
        </w:rPr>
        <w:t>е</w:t>
      </w:r>
      <w:r w:rsidR="00C23E16">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00C23E16">
        <w:rPr>
          <w:rFonts w:ascii="Times New Roman" w:hAnsi="Times New Roman" w:cs="Times New Roman"/>
          <w:sz w:val="20"/>
          <w:szCs w:val="20"/>
          <w:shd w:val="clear" w:color="auto" w:fill="FFFFFF"/>
        </w:rPr>
        <w:t>ніж</w:t>
      </w:r>
      <w:r>
        <w:rPr>
          <w:rFonts w:ascii="Times New Roman" w:hAnsi="Times New Roman" w:cs="Times New Roman"/>
          <w:sz w:val="20"/>
          <w:szCs w:val="20"/>
          <w:shd w:val="clear" w:color="auto" w:fill="FFFFFF"/>
        </w:rPr>
        <w:t xml:space="preserve"> </w:t>
      </w:r>
      <w:r w:rsidRPr="00277495">
        <w:rPr>
          <w:rFonts w:ascii="Times New Roman" w:hAnsi="Times New Roman" w:cs="Times New Roman"/>
          <w:sz w:val="20"/>
          <w:szCs w:val="20"/>
          <w:shd w:val="clear" w:color="auto" w:fill="FFFFFF"/>
        </w:rPr>
        <w:t>70 країнах світу. Лідерами в освоєнні енергії вітру є США, Німеччина, Данія, Іспанія, Китай.</w:t>
      </w:r>
      <w:r>
        <w:rPr>
          <w:rFonts w:ascii="Times New Roman" w:hAnsi="Times New Roman" w:cs="Times New Roman"/>
          <w:sz w:val="20"/>
          <w:szCs w:val="20"/>
          <w:shd w:val="clear" w:color="auto" w:fill="FFFFFF"/>
        </w:rPr>
        <w:t xml:space="preserve"> Однак, серед усіх альтернативних джерел, с</w:t>
      </w:r>
      <w:r w:rsidRPr="00277495">
        <w:rPr>
          <w:rFonts w:ascii="Times New Roman" w:hAnsi="Times New Roman" w:cs="Times New Roman"/>
          <w:sz w:val="20"/>
          <w:szCs w:val="20"/>
          <w:shd w:val="clear" w:color="auto" w:fill="FFFFFF"/>
        </w:rPr>
        <w:t xml:space="preserve">ектор сонячної енергетики </w:t>
      </w:r>
      <w:r>
        <w:rPr>
          <w:rFonts w:ascii="Times New Roman" w:hAnsi="Times New Roman" w:cs="Times New Roman"/>
          <w:sz w:val="20"/>
          <w:szCs w:val="20"/>
          <w:shd w:val="clear" w:color="auto" w:fill="FFFFFF"/>
        </w:rPr>
        <w:t xml:space="preserve">вважається найпродуктивнішим, що </w:t>
      </w:r>
      <w:r w:rsidRPr="00277495">
        <w:rPr>
          <w:rFonts w:ascii="Times New Roman" w:hAnsi="Times New Roman" w:cs="Times New Roman"/>
          <w:sz w:val="20"/>
          <w:szCs w:val="20"/>
          <w:shd w:val="clear" w:color="auto" w:fill="FFFFFF"/>
        </w:rPr>
        <w:t>сприяє зростанню темпів його розвитку.</w:t>
      </w:r>
      <w:r>
        <w:rPr>
          <w:rFonts w:ascii="Times New Roman" w:hAnsi="Times New Roman" w:cs="Times New Roman"/>
          <w:sz w:val="20"/>
          <w:szCs w:val="20"/>
          <w:shd w:val="clear" w:color="auto" w:fill="FFFFFF"/>
        </w:rPr>
        <w:t xml:space="preserve"> Поступово ринок вітрової та сонячної</w:t>
      </w:r>
      <w:r w:rsidRPr="007B30E1">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енергетики набирає популярності</w:t>
      </w:r>
      <w:r w:rsidRPr="007B30E1">
        <w:rPr>
          <w:rFonts w:ascii="Times New Roman" w:hAnsi="Times New Roman" w:cs="Times New Roman"/>
          <w:sz w:val="20"/>
          <w:szCs w:val="20"/>
          <w:shd w:val="clear" w:color="auto" w:fill="FFFFFF"/>
        </w:rPr>
        <w:t>, чому сприяє амбітна кліматична політика в Європейському союзі, США, Китаї, Індії, Японії і Австралії, а також різке падіння вартості на будівництво сонячної і вітрової установок, що дозволило країнам, що розвиваються розширити їх поновлювані потужності</w:t>
      </w:r>
      <w:r>
        <w:rPr>
          <w:rFonts w:ascii="Times New Roman" w:hAnsi="Times New Roman" w:cs="Times New Roman"/>
          <w:sz w:val="20"/>
          <w:szCs w:val="20"/>
          <w:shd w:val="clear" w:color="auto" w:fill="FFFFFF"/>
        </w:rPr>
        <w:t>. Крім того,</w:t>
      </w:r>
      <w:r w:rsidRPr="00643B30">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завдяки сонячним</w:t>
      </w:r>
      <w:r w:rsidRPr="007B30E1">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електростанціям</w:t>
      </w:r>
      <w:r w:rsidR="00C23E16">
        <w:rPr>
          <w:rFonts w:ascii="Times New Roman" w:hAnsi="Times New Roman" w:cs="Times New Roman"/>
          <w:sz w:val="20"/>
          <w:szCs w:val="20"/>
          <w:shd w:val="clear" w:color="auto" w:fill="FFFFFF"/>
        </w:rPr>
        <w:t xml:space="preserve"> у 2017р.</w:t>
      </w:r>
      <w:r>
        <w:rPr>
          <w:rFonts w:ascii="Times New Roman" w:hAnsi="Times New Roman" w:cs="Times New Roman"/>
          <w:sz w:val="20"/>
          <w:szCs w:val="20"/>
          <w:shd w:val="clear" w:color="auto" w:fill="FFFFFF"/>
        </w:rPr>
        <w:t xml:space="preserve"> було вироблено </w:t>
      </w:r>
      <w:r w:rsidRPr="007B30E1">
        <w:rPr>
          <w:rFonts w:ascii="Times New Roman" w:hAnsi="Times New Roman" w:cs="Times New Roman"/>
          <w:sz w:val="20"/>
          <w:szCs w:val="20"/>
          <w:shd w:val="clear" w:color="auto" w:fill="FFFFFF"/>
        </w:rPr>
        <w:t xml:space="preserve">20% додаткової </w:t>
      </w:r>
      <w:r w:rsidR="00C23E16">
        <w:rPr>
          <w:rFonts w:ascii="Times New Roman" w:hAnsi="Times New Roman" w:cs="Times New Roman"/>
          <w:sz w:val="20"/>
          <w:szCs w:val="20"/>
          <w:shd w:val="clear" w:color="auto" w:fill="FFFFFF"/>
        </w:rPr>
        <w:t xml:space="preserve">електроенергії та  30% на базі </w:t>
      </w:r>
      <w:proofErr w:type="spellStart"/>
      <w:r w:rsidR="00C23E16">
        <w:rPr>
          <w:rFonts w:ascii="Times New Roman" w:hAnsi="Times New Roman" w:cs="Times New Roman"/>
          <w:sz w:val="20"/>
          <w:szCs w:val="20"/>
          <w:shd w:val="clear" w:color="auto" w:fill="FFFFFF"/>
        </w:rPr>
        <w:t>вітрогенераторів</w:t>
      </w:r>
      <w:proofErr w:type="spellEnd"/>
      <w:r w:rsidR="006205F3" w:rsidRPr="006205F3">
        <w:rPr>
          <w:rFonts w:ascii="Times New Roman" w:hAnsi="Times New Roman" w:cs="Times New Roman"/>
          <w:sz w:val="20"/>
          <w:szCs w:val="20"/>
          <w:shd w:val="clear" w:color="auto" w:fill="FFFFFF"/>
          <w:lang w:val="ru-RU"/>
        </w:rPr>
        <w:t xml:space="preserve"> [1, </w:t>
      </w:r>
      <w:r w:rsidR="006205F3">
        <w:rPr>
          <w:rFonts w:ascii="Times New Roman" w:hAnsi="Times New Roman" w:cs="Times New Roman"/>
          <w:sz w:val="20"/>
          <w:szCs w:val="20"/>
          <w:shd w:val="clear" w:color="auto" w:fill="FFFFFF"/>
          <w:lang w:val="en-US"/>
        </w:rPr>
        <w:t>C</w:t>
      </w:r>
      <w:r w:rsidR="006205F3" w:rsidRPr="006205F3">
        <w:rPr>
          <w:rFonts w:ascii="Times New Roman" w:hAnsi="Times New Roman" w:cs="Times New Roman"/>
          <w:sz w:val="20"/>
          <w:szCs w:val="20"/>
          <w:shd w:val="clear" w:color="auto" w:fill="FFFFFF"/>
          <w:lang w:val="ru-RU"/>
        </w:rPr>
        <w:t>.</w:t>
      </w:r>
      <w:r w:rsidR="006205F3">
        <w:rPr>
          <w:rFonts w:ascii="Times New Roman" w:hAnsi="Times New Roman" w:cs="Times New Roman"/>
          <w:sz w:val="20"/>
          <w:szCs w:val="20"/>
          <w:shd w:val="clear" w:color="auto" w:fill="FFFFFF"/>
        </w:rPr>
        <w:t>123-124</w:t>
      </w:r>
      <w:r w:rsidR="006205F3" w:rsidRPr="006205F3">
        <w:rPr>
          <w:rFonts w:ascii="Times New Roman" w:hAnsi="Times New Roman" w:cs="Times New Roman"/>
          <w:sz w:val="20"/>
          <w:szCs w:val="20"/>
          <w:shd w:val="clear" w:color="auto" w:fill="FFFFFF"/>
          <w:lang w:val="ru-RU"/>
        </w:rPr>
        <w:t>]</w:t>
      </w:r>
      <w:r w:rsidR="00C23E16">
        <w:rPr>
          <w:rFonts w:ascii="Times New Roman" w:hAnsi="Times New Roman" w:cs="Times New Roman"/>
          <w:sz w:val="20"/>
          <w:szCs w:val="20"/>
          <w:shd w:val="clear" w:color="auto" w:fill="FFFFFF"/>
        </w:rPr>
        <w:t>.</w:t>
      </w:r>
    </w:p>
    <w:p w:rsidR="004433E1" w:rsidRDefault="00643B30" w:rsidP="00262055">
      <w:pPr>
        <w:tabs>
          <w:tab w:val="left" w:pos="4287"/>
        </w:tabs>
        <w:spacing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На сьогодні відновлювальні</w:t>
      </w:r>
      <w:r w:rsidR="000F15D1" w:rsidRPr="007B30E1">
        <w:rPr>
          <w:rFonts w:ascii="Times New Roman" w:hAnsi="Times New Roman" w:cs="Times New Roman"/>
          <w:sz w:val="20"/>
          <w:szCs w:val="20"/>
          <w:shd w:val="clear" w:color="auto" w:fill="FFFFFF"/>
        </w:rPr>
        <w:t xml:space="preserve"> джерела енергії </w:t>
      </w:r>
      <w:r>
        <w:rPr>
          <w:rFonts w:ascii="Times New Roman" w:hAnsi="Times New Roman" w:cs="Times New Roman"/>
          <w:sz w:val="20"/>
          <w:szCs w:val="20"/>
          <w:shd w:val="clear" w:color="auto" w:fill="FFFFFF"/>
        </w:rPr>
        <w:t xml:space="preserve">вже покривають 1/3 паливно-енергетичного балансу </w:t>
      </w:r>
      <w:r w:rsidR="000F15D1" w:rsidRPr="007B30E1">
        <w:rPr>
          <w:rFonts w:ascii="Times New Roman" w:hAnsi="Times New Roman" w:cs="Times New Roman"/>
          <w:sz w:val="20"/>
          <w:szCs w:val="20"/>
          <w:shd w:val="clear" w:color="auto" w:fill="FFFFFF"/>
        </w:rPr>
        <w:t>в Європі, 1/4 в Китаї і 1/6 в Спол</w:t>
      </w:r>
      <w:r w:rsidR="00262055">
        <w:rPr>
          <w:rFonts w:ascii="Times New Roman" w:hAnsi="Times New Roman" w:cs="Times New Roman"/>
          <w:sz w:val="20"/>
          <w:szCs w:val="20"/>
          <w:shd w:val="clear" w:color="auto" w:fill="FFFFFF"/>
        </w:rPr>
        <w:t>учених Штатах, Індії та Японії</w:t>
      </w:r>
      <w:r w:rsidR="000F15D1" w:rsidRPr="007B30E1">
        <w:rPr>
          <w:rFonts w:ascii="Times New Roman" w:hAnsi="Times New Roman" w:cs="Times New Roman"/>
          <w:sz w:val="20"/>
          <w:szCs w:val="20"/>
          <w:shd w:val="clear" w:color="auto" w:fill="FFFFFF"/>
        </w:rPr>
        <w:t>.</w:t>
      </w:r>
      <w:r w:rsidR="00676D68">
        <w:rPr>
          <w:rFonts w:ascii="Times New Roman" w:hAnsi="Times New Roman" w:cs="Times New Roman"/>
          <w:sz w:val="20"/>
          <w:szCs w:val="20"/>
          <w:shd w:val="clear" w:color="auto" w:fill="FFFFFF"/>
        </w:rPr>
        <w:t xml:space="preserve"> Але якщо розглядати </w:t>
      </w:r>
      <w:r w:rsidR="00654DE0">
        <w:rPr>
          <w:rFonts w:ascii="Times New Roman" w:hAnsi="Times New Roman" w:cs="Times New Roman"/>
          <w:sz w:val="20"/>
          <w:szCs w:val="20"/>
          <w:shd w:val="clear" w:color="auto" w:fill="FFFFFF"/>
        </w:rPr>
        <w:t>структуру споживання відновлювальних джерел енергії за регіонами світу, то найбільше у відношенні до всієї виробленої енергії</w:t>
      </w:r>
      <w:r w:rsidR="00C23E16">
        <w:rPr>
          <w:rFonts w:ascii="Times New Roman" w:hAnsi="Times New Roman" w:cs="Times New Roman"/>
          <w:sz w:val="20"/>
          <w:szCs w:val="20"/>
          <w:shd w:val="clear" w:color="auto" w:fill="FFFFFF"/>
        </w:rPr>
        <w:t xml:space="preserve"> в межах регіону</w:t>
      </w:r>
      <w:r w:rsidR="00654DE0">
        <w:rPr>
          <w:rFonts w:ascii="Times New Roman" w:hAnsi="Times New Roman" w:cs="Times New Roman"/>
          <w:sz w:val="20"/>
          <w:szCs w:val="20"/>
          <w:shd w:val="clear" w:color="auto" w:fill="FFFFFF"/>
        </w:rPr>
        <w:t xml:space="preserve"> споживають країни Латинської Америки</w:t>
      </w:r>
      <w:r w:rsidR="00C23E16">
        <w:rPr>
          <w:rFonts w:ascii="Times New Roman" w:hAnsi="Times New Roman" w:cs="Times New Roman"/>
          <w:sz w:val="20"/>
          <w:szCs w:val="20"/>
          <w:shd w:val="clear" w:color="auto" w:fill="FFFFFF"/>
        </w:rPr>
        <w:t xml:space="preserve"> (56%)</w:t>
      </w:r>
      <w:r w:rsidR="00654DE0">
        <w:rPr>
          <w:rFonts w:ascii="Times New Roman" w:hAnsi="Times New Roman" w:cs="Times New Roman"/>
          <w:sz w:val="20"/>
          <w:szCs w:val="20"/>
          <w:shd w:val="clear" w:color="auto" w:fill="FFFFFF"/>
        </w:rPr>
        <w:t xml:space="preserve"> через </w:t>
      </w:r>
      <w:r w:rsidR="00C23E16">
        <w:rPr>
          <w:rFonts w:ascii="Times New Roman" w:hAnsi="Times New Roman" w:cs="Times New Roman"/>
          <w:sz w:val="20"/>
          <w:szCs w:val="20"/>
          <w:shd w:val="clear" w:color="auto" w:fill="FFFFFF"/>
        </w:rPr>
        <w:t xml:space="preserve">сприятливі умови </w:t>
      </w:r>
      <w:r w:rsidR="004E73F2">
        <w:rPr>
          <w:rFonts w:ascii="Times New Roman" w:hAnsi="Times New Roman" w:cs="Times New Roman"/>
          <w:sz w:val="20"/>
          <w:szCs w:val="20"/>
          <w:shd w:val="clear" w:color="auto" w:fill="FFFFFF"/>
        </w:rPr>
        <w:t>впровадження альтернативних технологій енергопостачання. Зростаюча чисельність населення, як в кра</w:t>
      </w:r>
      <w:r w:rsidR="00C23E16">
        <w:rPr>
          <w:rFonts w:ascii="Times New Roman" w:hAnsi="Times New Roman" w:cs="Times New Roman"/>
          <w:sz w:val="20"/>
          <w:szCs w:val="20"/>
          <w:shd w:val="clear" w:color="auto" w:fill="FFFFFF"/>
        </w:rPr>
        <w:t xml:space="preserve">їнах Латинської Америки, так і другого за часткою споживання </w:t>
      </w:r>
      <w:r w:rsidR="004E73F2">
        <w:rPr>
          <w:rFonts w:ascii="Times New Roman" w:hAnsi="Times New Roman" w:cs="Times New Roman"/>
          <w:sz w:val="20"/>
          <w:szCs w:val="20"/>
          <w:shd w:val="clear" w:color="auto" w:fill="FFFFFF"/>
        </w:rPr>
        <w:t>Азійсько-Тихоокеанського</w:t>
      </w:r>
      <w:r w:rsidR="00C23E16">
        <w:rPr>
          <w:rFonts w:ascii="Times New Roman" w:hAnsi="Times New Roman" w:cs="Times New Roman"/>
          <w:sz w:val="20"/>
          <w:szCs w:val="20"/>
          <w:shd w:val="clear" w:color="auto" w:fill="FFFFFF"/>
        </w:rPr>
        <w:t xml:space="preserve"> регіону (46,3%),</w:t>
      </w:r>
      <w:r w:rsidR="004E73F2">
        <w:rPr>
          <w:rFonts w:ascii="Times New Roman" w:hAnsi="Times New Roman" w:cs="Times New Roman"/>
          <w:sz w:val="20"/>
          <w:szCs w:val="20"/>
          <w:shd w:val="clear" w:color="auto" w:fill="FFFFFF"/>
        </w:rPr>
        <w:t xml:space="preserve"> </w:t>
      </w:r>
      <w:r w:rsidR="00C23E16">
        <w:rPr>
          <w:rFonts w:ascii="Times New Roman" w:hAnsi="Times New Roman" w:cs="Times New Roman"/>
          <w:sz w:val="20"/>
          <w:szCs w:val="20"/>
          <w:shd w:val="clear" w:color="auto" w:fill="FFFFFF"/>
        </w:rPr>
        <w:t>сприяють впровадженню</w:t>
      </w:r>
      <w:r w:rsidR="008C441B">
        <w:rPr>
          <w:rFonts w:ascii="Times New Roman" w:hAnsi="Times New Roman" w:cs="Times New Roman"/>
          <w:sz w:val="20"/>
          <w:szCs w:val="20"/>
          <w:shd w:val="clear" w:color="auto" w:fill="FFFFFF"/>
        </w:rPr>
        <w:t xml:space="preserve"> ВДЕ</w:t>
      </w:r>
      <w:r w:rsidR="006205F3">
        <w:rPr>
          <w:rFonts w:ascii="Times New Roman" w:hAnsi="Times New Roman" w:cs="Times New Roman"/>
          <w:sz w:val="20"/>
          <w:szCs w:val="20"/>
          <w:shd w:val="clear" w:color="auto" w:fill="FFFFFF"/>
        </w:rPr>
        <w:t xml:space="preserve"> </w:t>
      </w:r>
      <w:r w:rsidR="006205F3">
        <w:rPr>
          <w:rFonts w:ascii="Times New Roman" w:hAnsi="Times New Roman" w:cs="Times New Roman"/>
          <w:sz w:val="20"/>
          <w:szCs w:val="20"/>
          <w:shd w:val="clear" w:color="auto" w:fill="FFFFFF"/>
          <w:lang w:val="en-US"/>
        </w:rPr>
        <w:t>[</w:t>
      </w:r>
      <w:r w:rsidR="00F015B0">
        <w:rPr>
          <w:rFonts w:ascii="Times New Roman" w:hAnsi="Times New Roman" w:cs="Times New Roman"/>
          <w:sz w:val="20"/>
          <w:szCs w:val="20"/>
          <w:shd w:val="clear" w:color="auto" w:fill="FFFFFF"/>
          <w:lang w:val="en-US"/>
        </w:rPr>
        <w:t>10</w:t>
      </w:r>
      <w:r w:rsidR="006205F3">
        <w:rPr>
          <w:rFonts w:ascii="Times New Roman" w:hAnsi="Times New Roman" w:cs="Times New Roman"/>
          <w:sz w:val="20"/>
          <w:szCs w:val="20"/>
          <w:shd w:val="clear" w:color="auto" w:fill="FFFFFF"/>
          <w:lang w:val="en-US"/>
        </w:rPr>
        <w:t>],</w:t>
      </w:r>
      <w:r w:rsidR="008C441B">
        <w:rPr>
          <w:rFonts w:ascii="Times New Roman" w:hAnsi="Times New Roman" w:cs="Times New Roman"/>
          <w:sz w:val="20"/>
          <w:szCs w:val="20"/>
          <w:shd w:val="clear" w:color="auto" w:fill="FFFFFF"/>
        </w:rPr>
        <w:t xml:space="preserve"> </w:t>
      </w:r>
      <w:r w:rsidR="008C441B" w:rsidRPr="008C441B">
        <w:rPr>
          <w:rFonts w:ascii="Times New Roman" w:hAnsi="Times New Roman" w:cs="Times New Roman"/>
          <w:sz w:val="20"/>
          <w:szCs w:val="20"/>
          <w:shd w:val="clear" w:color="auto" w:fill="FFFFFF"/>
        </w:rPr>
        <w:t>(див. рис. 2.):</w:t>
      </w:r>
      <w:r w:rsidR="008C441B">
        <w:rPr>
          <w:rFonts w:ascii="Times New Roman" w:hAnsi="Times New Roman" w:cs="Times New Roman"/>
          <w:sz w:val="20"/>
          <w:szCs w:val="20"/>
          <w:shd w:val="clear" w:color="auto" w:fill="FFFFFF"/>
        </w:rPr>
        <w:t xml:space="preserve">  </w:t>
      </w:r>
      <w:r w:rsidR="004E73F2">
        <w:rPr>
          <w:rFonts w:ascii="Times New Roman" w:hAnsi="Times New Roman" w:cs="Times New Roman"/>
          <w:sz w:val="20"/>
          <w:szCs w:val="20"/>
          <w:shd w:val="clear" w:color="auto" w:fill="FFFFFF"/>
        </w:rPr>
        <w:t xml:space="preserve"> </w:t>
      </w:r>
    </w:p>
    <w:p w:rsidR="00654DE0" w:rsidRDefault="00654DE0" w:rsidP="00262055">
      <w:pPr>
        <w:tabs>
          <w:tab w:val="left" w:pos="4287"/>
        </w:tabs>
        <w:spacing w:line="240" w:lineRule="auto"/>
        <w:rPr>
          <w:rFonts w:ascii="Times New Roman" w:hAnsi="Times New Roman" w:cs="Times New Roman"/>
          <w:sz w:val="20"/>
          <w:szCs w:val="20"/>
          <w:shd w:val="clear" w:color="auto" w:fill="FFFFFF"/>
        </w:rPr>
      </w:pPr>
    </w:p>
    <w:p w:rsidR="00277495" w:rsidRDefault="00C14A27" w:rsidP="00654DE0">
      <w:pPr>
        <w:tabs>
          <w:tab w:val="left" w:pos="4287"/>
        </w:tabs>
        <w:spacing w:line="240" w:lineRule="auto"/>
        <w:ind w:firstLine="0"/>
        <w:rPr>
          <w:rFonts w:ascii="Times New Roman" w:hAnsi="Times New Roman" w:cs="Times New Roman"/>
          <w:sz w:val="20"/>
          <w:szCs w:val="20"/>
          <w:shd w:val="clear" w:color="auto" w:fill="FFFFFF"/>
        </w:rPr>
      </w:pPr>
      <w:r>
        <w:rPr>
          <w:noProof/>
          <w:lang w:eastAsia="uk-UA"/>
        </w:rPr>
        <w:drawing>
          <wp:inline distT="0" distB="0" distL="0" distR="0" wp14:anchorId="3681B87A" wp14:editId="6D53863C">
            <wp:extent cx="6154309" cy="2130950"/>
            <wp:effectExtent l="0" t="0" r="18415" b="222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4DE0" w:rsidRPr="00643B30" w:rsidRDefault="00654DE0" w:rsidP="00C14A27">
      <w:pPr>
        <w:tabs>
          <w:tab w:val="left" w:pos="4287"/>
        </w:tabs>
        <w:spacing w:line="240" w:lineRule="auto"/>
        <w:jc w:val="center"/>
        <w:rPr>
          <w:rFonts w:ascii="Times New Roman" w:hAnsi="Times New Roman" w:cs="Times New Roman"/>
          <w:b/>
          <w:sz w:val="20"/>
          <w:szCs w:val="20"/>
        </w:rPr>
      </w:pPr>
      <w:r>
        <w:rPr>
          <w:rFonts w:ascii="Times New Roman" w:hAnsi="Times New Roman" w:cs="Times New Roman"/>
          <w:b/>
          <w:sz w:val="20"/>
          <w:szCs w:val="20"/>
        </w:rPr>
        <w:t>Рис. 2</w:t>
      </w:r>
      <w:r w:rsidRPr="00643B30">
        <w:rPr>
          <w:rFonts w:ascii="Times New Roman" w:hAnsi="Times New Roman" w:cs="Times New Roman"/>
          <w:b/>
          <w:sz w:val="20"/>
          <w:szCs w:val="20"/>
        </w:rPr>
        <w:t xml:space="preserve">. </w:t>
      </w:r>
      <w:r>
        <w:rPr>
          <w:rFonts w:ascii="Times New Roman" w:hAnsi="Times New Roman" w:cs="Times New Roman"/>
          <w:b/>
          <w:sz w:val="20"/>
          <w:szCs w:val="20"/>
        </w:rPr>
        <w:t>Структура споживання</w:t>
      </w:r>
      <w:r w:rsidRPr="00643B30">
        <w:rPr>
          <w:rFonts w:ascii="Times New Roman" w:hAnsi="Times New Roman" w:cs="Times New Roman"/>
          <w:b/>
          <w:sz w:val="20"/>
          <w:szCs w:val="20"/>
        </w:rPr>
        <w:t xml:space="preserve"> </w:t>
      </w:r>
      <w:r w:rsidR="00C14A27">
        <w:rPr>
          <w:rFonts w:ascii="Times New Roman" w:hAnsi="Times New Roman" w:cs="Times New Roman"/>
          <w:b/>
          <w:sz w:val="20"/>
          <w:szCs w:val="20"/>
        </w:rPr>
        <w:t>ВДЕ</w:t>
      </w:r>
      <w:r>
        <w:rPr>
          <w:rFonts w:ascii="Times New Roman" w:hAnsi="Times New Roman" w:cs="Times New Roman"/>
          <w:b/>
          <w:sz w:val="20"/>
          <w:szCs w:val="20"/>
        </w:rPr>
        <w:t xml:space="preserve"> за регіонами світу </w:t>
      </w:r>
      <w:r w:rsidRPr="00643B30">
        <w:rPr>
          <w:rFonts w:ascii="Times New Roman" w:hAnsi="Times New Roman" w:cs="Times New Roman"/>
          <w:b/>
          <w:sz w:val="20"/>
          <w:szCs w:val="20"/>
        </w:rPr>
        <w:t>у 2017р., (%</w:t>
      </w:r>
      <w:r>
        <w:rPr>
          <w:rFonts w:ascii="Times New Roman" w:hAnsi="Times New Roman" w:cs="Times New Roman"/>
          <w:b/>
          <w:sz w:val="20"/>
          <w:szCs w:val="20"/>
        </w:rPr>
        <w:t xml:space="preserve"> від виробленої електроенергії</w:t>
      </w:r>
      <w:r w:rsidRPr="00643B30">
        <w:rPr>
          <w:rFonts w:ascii="Times New Roman" w:hAnsi="Times New Roman" w:cs="Times New Roman"/>
          <w:b/>
          <w:sz w:val="20"/>
          <w:szCs w:val="20"/>
        </w:rPr>
        <w:t>).</w:t>
      </w:r>
    </w:p>
    <w:p w:rsidR="00654DE0" w:rsidRPr="00C14A27" w:rsidRDefault="00654DE0" w:rsidP="00654DE0">
      <w:pPr>
        <w:tabs>
          <w:tab w:val="left" w:pos="4287"/>
        </w:tabs>
        <w:spacing w:line="240" w:lineRule="auto"/>
        <w:ind w:firstLine="0"/>
        <w:rPr>
          <w:rFonts w:ascii="Times New Roman" w:hAnsi="Times New Roman" w:cs="Times New Roman"/>
          <w:i/>
          <w:sz w:val="20"/>
          <w:szCs w:val="20"/>
        </w:rPr>
      </w:pPr>
      <w:r w:rsidRPr="00643B30">
        <w:rPr>
          <w:rFonts w:ascii="Times New Roman" w:hAnsi="Times New Roman" w:cs="Times New Roman"/>
          <w:i/>
          <w:sz w:val="20"/>
          <w:szCs w:val="20"/>
        </w:rPr>
        <w:t xml:space="preserve">Примітка. Складено автором за даними </w:t>
      </w:r>
      <w:r w:rsidRPr="00643B30">
        <w:rPr>
          <w:rFonts w:ascii="Times New Roman" w:hAnsi="Times New Roman" w:cs="Times New Roman"/>
          <w:i/>
          <w:sz w:val="20"/>
          <w:szCs w:val="20"/>
          <w:lang w:val="en-US"/>
        </w:rPr>
        <w:t>World</w:t>
      </w:r>
      <w:r w:rsidRPr="00643B30">
        <w:rPr>
          <w:rFonts w:ascii="Times New Roman" w:hAnsi="Times New Roman" w:cs="Times New Roman"/>
          <w:i/>
          <w:sz w:val="20"/>
          <w:szCs w:val="20"/>
        </w:rPr>
        <w:t xml:space="preserve"> </w:t>
      </w:r>
      <w:r w:rsidRPr="00643B30">
        <w:rPr>
          <w:rFonts w:ascii="Times New Roman" w:hAnsi="Times New Roman" w:cs="Times New Roman"/>
          <w:i/>
          <w:sz w:val="20"/>
          <w:szCs w:val="20"/>
          <w:lang w:val="en-US"/>
        </w:rPr>
        <w:t>Energy</w:t>
      </w:r>
      <w:r w:rsidRPr="00643B30">
        <w:rPr>
          <w:rFonts w:ascii="Times New Roman" w:hAnsi="Times New Roman" w:cs="Times New Roman"/>
          <w:i/>
          <w:sz w:val="20"/>
          <w:szCs w:val="20"/>
        </w:rPr>
        <w:t xml:space="preserve"> </w:t>
      </w:r>
      <w:r w:rsidRPr="00643B30">
        <w:rPr>
          <w:rFonts w:ascii="Times New Roman" w:hAnsi="Times New Roman" w:cs="Times New Roman"/>
          <w:i/>
          <w:sz w:val="20"/>
          <w:szCs w:val="20"/>
          <w:lang w:val="en-US"/>
        </w:rPr>
        <w:t>Yearbook</w:t>
      </w:r>
      <w:r w:rsidRPr="00C14A27">
        <w:rPr>
          <w:rFonts w:ascii="Times New Roman" w:hAnsi="Times New Roman" w:cs="Times New Roman"/>
          <w:i/>
          <w:sz w:val="20"/>
          <w:szCs w:val="20"/>
        </w:rPr>
        <w:t>.</w:t>
      </w:r>
    </w:p>
    <w:p w:rsidR="00654DE0" w:rsidRPr="00C14A27" w:rsidRDefault="00654DE0" w:rsidP="00654DE0">
      <w:pPr>
        <w:tabs>
          <w:tab w:val="left" w:pos="4287"/>
        </w:tabs>
        <w:spacing w:line="240" w:lineRule="auto"/>
        <w:ind w:firstLine="0"/>
        <w:rPr>
          <w:rFonts w:ascii="Times New Roman" w:hAnsi="Times New Roman" w:cs="Times New Roman"/>
          <w:sz w:val="20"/>
          <w:szCs w:val="20"/>
          <w:shd w:val="clear" w:color="auto" w:fill="FFFFFF"/>
        </w:rPr>
      </w:pPr>
    </w:p>
    <w:p w:rsidR="0063539B" w:rsidRDefault="008C441B" w:rsidP="0063539B">
      <w:pPr>
        <w:tabs>
          <w:tab w:val="left" w:pos="4287"/>
        </w:tabs>
        <w:spacing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Слід зазначити, що п</w:t>
      </w:r>
      <w:r w:rsidR="007B30E1" w:rsidRPr="007B30E1">
        <w:rPr>
          <w:rFonts w:ascii="Times New Roman" w:hAnsi="Times New Roman" w:cs="Times New Roman"/>
          <w:sz w:val="20"/>
          <w:szCs w:val="20"/>
          <w:shd w:val="clear" w:color="auto" w:fill="FFFFFF"/>
        </w:rPr>
        <w:t>опит на енергію</w:t>
      </w:r>
      <w:r>
        <w:rPr>
          <w:rFonts w:ascii="Times New Roman" w:hAnsi="Times New Roman" w:cs="Times New Roman"/>
          <w:sz w:val="20"/>
          <w:szCs w:val="20"/>
          <w:shd w:val="clear" w:color="auto" w:fill="FFFFFF"/>
        </w:rPr>
        <w:t xml:space="preserve"> відновлювальних джерел</w:t>
      </w:r>
      <w:r w:rsidR="007B30E1" w:rsidRPr="007B30E1">
        <w:rPr>
          <w:rFonts w:ascii="Times New Roman" w:hAnsi="Times New Roman" w:cs="Times New Roman"/>
          <w:sz w:val="20"/>
          <w:szCs w:val="20"/>
          <w:shd w:val="clear" w:color="auto" w:fill="FFFFFF"/>
        </w:rPr>
        <w:t xml:space="preserve"> зростає </w:t>
      </w:r>
      <w:r w:rsidR="00C23E16">
        <w:rPr>
          <w:rFonts w:ascii="Times New Roman" w:hAnsi="Times New Roman" w:cs="Times New Roman"/>
          <w:sz w:val="20"/>
          <w:szCs w:val="20"/>
          <w:shd w:val="clear" w:color="auto" w:fill="FFFFFF"/>
        </w:rPr>
        <w:t xml:space="preserve">також </w:t>
      </w:r>
      <w:r w:rsidR="007B30E1" w:rsidRPr="007B30E1">
        <w:rPr>
          <w:rFonts w:ascii="Times New Roman" w:hAnsi="Times New Roman" w:cs="Times New Roman"/>
          <w:sz w:val="20"/>
          <w:szCs w:val="20"/>
          <w:shd w:val="clear" w:color="auto" w:fill="FFFFFF"/>
        </w:rPr>
        <w:t xml:space="preserve">в </w:t>
      </w:r>
      <w:r>
        <w:rPr>
          <w:rFonts w:ascii="Times New Roman" w:hAnsi="Times New Roman" w:cs="Times New Roman"/>
          <w:sz w:val="20"/>
          <w:szCs w:val="20"/>
          <w:shd w:val="clear" w:color="auto" w:fill="FFFFFF"/>
        </w:rPr>
        <w:t xml:space="preserve">країнах, де їх впровадження є пріоритетним у </w:t>
      </w:r>
      <w:r w:rsidR="007B30E1" w:rsidRPr="007B30E1">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національній</w:t>
      </w:r>
      <w:r w:rsidR="007B30E1" w:rsidRPr="007B30E1">
        <w:rPr>
          <w:rFonts w:ascii="Times New Roman" w:hAnsi="Times New Roman" w:cs="Times New Roman"/>
          <w:sz w:val="20"/>
          <w:szCs w:val="20"/>
          <w:shd w:val="clear" w:color="auto" w:fill="FFFFFF"/>
        </w:rPr>
        <w:t xml:space="preserve"> енергетичної політики. Таке рішення – це значний крок на шляху до підвищення рівня </w:t>
      </w:r>
      <w:r>
        <w:rPr>
          <w:rFonts w:ascii="Times New Roman" w:hAnsi="Times New Roman" w:cs="Times New Roman"/>
          <w:sz w:val="20"/>
          <w:szCs w:val="20"/>
          <w:shd w:val="clear" w:color="auto" w:fill="FFFFFF"/>
        </w:rPr>
        <w:t xml:space="preserve">привабливості капіталовкладень, оскільки </w:t>
      </w:r>
      <w:r w:rsidR="007B30E1" w:rsidRPr="007B30E1">
        <w:rPr>
          <w:rFonts w:ascii="Times New Roman" w:hAnsi="Times New Roman" w:cs="Times New Roman"/>
          <w:sz w:val="20"/>
          <w:szCs w:val="20"/>
          <w:shd w:val="clear" w:color="auto" w:fill="FFFFFF"/>
        </w:rPr>
        <w:t>саме цей напрям на сьогодні є перспективним.</w:t>
      </w:r>
      <w:r w:rsidR="007B30E1">
        <w:rPr>
          <w:rFonts w:ascii="Times New Roman" w:hAnsi="Times New Roman" w:cs="Times New Roman"/>
          <w:sz w:val="20"/>
          <w:szCs w:val="20"/>
          <w:shd w:val="clear" w:color="auto" w:fill="FFFFFF"/>
        </w:rPr>
        <w:t xml:space="preserve"> </w:t>
      </w:r>
      <w:r w:rsidR="0063539B">
        <w:rPr>
          <w:rFonts w:ascii="Times New Roman" w:hAnsi="Times New Roman" w:cs="Times New Roman"/>
          <w:sz w:val="20"/>
          <w:szCs w:val="20"/>
          <w:shd w:val="clear" w:color="auto" w:fill="FFFFFF"/>
        </w:rPr>
        <w:t xml:space="preserve">В деяких країнах світу вже застосовують стимулюючі заходи </w:t>
      </w:r>
      <w:r w:rsidR="0063539B" w:rsidRPr="007B30E1">
        <w:rPr>
          <w:rFonts w:ascii="Times New Roman" w:hAnsi="Times New Roman" w:cs="Times New Roman"/>
          <w:sz w:val="20"/>
          <w:szCs w:val="20"/>
          <w:shd w:val="clear" w:color="auto" w:fill="FFFFFF"/>
        </w:rPr>
        <w:t>підтримки</w:t>
      </w:r>
      <w:r w:rsidR="0063539B">
        <w:rPr>
          <w:rFonts w:ascii="Times New Roman" w:hAnsi="Times New Roman" w:cs="Times New Roman"/>
          <w:sz w:val="20"/>
          <w:szCs w:val="20"/>
          <w:shd w:val="clear" w:color="auto" w:fill="FFFFFF"/>
        </w:rPr>
        <w:t xml:space="preserve"> ринку</w:t>
      </w:r>
      <w:r w:rsidR="0063539B" w:rsidRPr="007B30E1">
        <w:rPr>
          <w:rFonts w:ascii="Times New Roman" w:hAnsi="Times New Roman" w:cs="Times New Roman"/>
          <w:sz w:val="20"/>
          <w:szCs w:val="20"/>
          <w:shd w:val="clear" w:color="auto" w:fill="FFFFFF"/>
        </w:rPr>
        <w:t xml:space="preserve"> альтернативної енергетики</w:t>
      </w:r>
      <w:r w:rsidR="0063539B">
        <w:rPr>
          <w:rFonts w:ascii="Times New Roman" w:hAnsi="Times New Roman" w:cs="Times New Roman"/>
          <w:sz w:val="20"/>
          <w:szCs w:val="20"/>
          <w:shd w:val="clear" w:color="auto" w:fill="FFFFFF"/>
        </w:rPr>
        <w:t xml:space="preserve">, а саме: </w:t>
      </w:r>
    </w:p>
    <w:p w:rsidR="007B30E1" w:rsidRPr="007B30E1" w:rsidRDefault="007B30E1" w:rsidP="0063539B">
      <w:pPr>
        <w:tabs>
          <w:tab w:val="left" w:pos="4287"/>
        </w:tabs>
        <w:spacing w:line="240" w:lineRule="auto"/>
        <w:rPr>
          <w:rFonts w:ascii="Times New Roman" w:hAnsi="Times New Roman" w:cs="Times New Roman"/>
          <w:sz w:val="20"/>
          <w:szCs w:val="20"/>
          <w:shd w:val="clear" w:color="auto" w:fill="FFFFFF"/>
        </w:rPr>
      </w:pPr>
      <w:r w:rsidRPr="007B30E1">
        <w:rPr>
          <w:rFonts w:ascii="Times New Roman" w:hAnsi="Times New Roman" w:cs="Times New Roman"/>
          <w:sz w:val="20"/>
          <w:szCs w:val="20"/>
          <w:shd w:val="clear" w:color="auto" w:fill="FFFFFF"/>
        </w:rPr>
        <w:t>– інвестиційні субсидії (Австралія, Австрія, Франція, Японія);</w:t>
      </w:r>
    </w:p>
    <w:p w:rsidR="007B30E1" w:rsidRPr="007B30E1" w:rsidRDefault="007B30E1" w:rsidP="007B30E1">
      <w:pPr>
        <w:tabs>
          <w:tab w:val="left" w:pos="4287"/>
        </w:tabs>
        <w:spacing w:line="240" w:lineRule="auto"/>
        <w:rPr>
          <w:rFonts w:ascii="Times New Roman" w:hAnsi="Times New Roman" w:cs="Times New Roman"/>
          <w:sz w:val="20"/>
          <w:szCs w:val="20"/>
          <w:shd w:val="clear" w:color="auto" w:fill="FFFFFF"/>
        </w:rPr>
      </w:pPr>
      <w:r w:rsidRPr="007B30E1">
        <w:rPr>
          <w:rFonts w:ascii="Times New Roman" w:hAnsi="Times New Roman" w:cs="Times New Roman"/>
          <w:sz w:val="20"/>
          <w:szCs w:val="20"/>
          <w:shd w:val="clear" w:color="auto" w:fill="FFFFFF"/>
        </w:rPr>
        <w:t>– податк</w:t>
      </w:r>
      <w:r>
        <w:rPr>
          <w:rFonts w:ascii="Times New Roman" w:hAnsi="Times New Roman" w:cs="Times New Roman"/>
          <w:sz w:val="20"/>
          <w:szCs w:val="20"/>
          <w:shd w:val="clear" w:color="auto" w:fill="FFFFFF"/>
        </w:rPr>
        <w:t>ові пільги (Індія, Португалія);</w:t>
      </w:r>
    </w:p>
    <w:p w:rsidR="007B30E1" w:rsidRPr="007B30E1" w:rsidRDefault="007B30E1" w:rsidP="007B30E1">
      <w:pPr>
        <w:tabs>
          <w:tab w:val="left" w:pos="4287"/>
        </w:tabs>
        <w:spacing w:line="240" w:lineRule="auto"/>
        <w:rPr>
          <w:rFonts w:ascii="Times New Roman" w:hAnsi="Times New Roman" w:cs="Times New Roman"/>
          <w:sz w:val="20"/>
          <w:szCs w:val="20"/>
          <w:shd w:val="clear" w:color="auto" w:fill="FFFFFF"/>
        </w:rPr>
      </w:pPr>
      <w:r w:rsidRPr="007B30E1">
        <w:rPr>
          <w:rFonts w:ascii="Times New Roman" w:hAnsi="Times New Roman" w:cs="Times New Roman"/>
          <w:sz w:val="20"/>
          <w:szCs w:val="20"/>
          <w:shd w:val="clear" w:color="auto" w:fill="FFFFFF"/>
        </w:rPr>
        <w:t>– сертифікати-зобов’язання за квотами на відновлювану енергію (Каліфорнія (США), Швеція, Великобританія);</w:t>
      </w:r>
    </w:p>
    <w:p w:rsidR="007B30E1" w:rsidRDefault="007B30E1" w:rsidP="007B30E1">
      <w:pPr>
        <w:tabs>
          <w:tab w:val="left" w:pos="4287"/>
        </w:tabs>
        <w:spacing w:line="240" w:lineRule="auto"/>
        <w:rPr>
          <w:rFonts w:ascii="Times New Roman" w:hAnsi="Times New Roman" w:cs="Times New Roman"/>
          <w:sz w:val="20"/>
          <w:szCs w:val="20"/>
          <w:shd w:val="clear" w:color="auto" w:fill="FFFFFF"/>
        </w:rPr>
      </w:pPr>
      <w:r w:rsidRPr="007B30E1">
        <w:rPr>
          <w:rFonts w:ascii="Times New Roman" w:hAnsi="Times New Roman" w:cs="Times New Roman"/>
          <w:sz w:val="20"/>
          <w:szCs w:val="20"/>
          <w:shd w:val="clear" w:color="auto" w:fill="FFFFFF"/>
        </w:rPr>
        <w:t>– пільги при державній закупівлі (Індія, Португалія)</w:t>
      </w:r>
      <w:r w:rsidR="0063539B">
        <w:rPr>
          <w:rFonts w:ascii="Times New Roman" w:hAnsi="Times New Roman" w:cs="Times New Roman"/>
          <w:sz w:val="20"/>
          <w:szCs w:val="20"/>
          <w:shd w:val="clear" w:color="auto" w:fill="FFFFFF"/>
        </w:rPr>
        <w:t xml:space="preserve"> </w:t>
      </w:r>
      <w:r w:rsidR="0063539B" w:rsidRPr="006205F3">
        <w:rPr>
          <w:rFonts w:ascii="Times New Roman" w:hAnsi="Times New Roman" w:cs="Times New Roman"/>
          <w:sz w:val="20"/>
          <w:szCs w:val="20"/>
          <w:shd w:val="clear" w:color="auto" w:fill="FFFFFF"/>
        </w:rPr>
        <w:t>[</w:t>
      </w:r>
      <w:r w:rsidR="006205F3" w:rsidRPr="006205F3">
        <w:rPr>
          <w:rFonts w:ascii="Times New Roman" w:hAnsi="Times New Roman" w:cs="Times New Roman"/>
          <w:sz w:val="20"/>
          <w:szCs w:val="20"/>
          <w:shd w:val="clear" w:color="auto" w:fill="FFFFFF"/>
        </w:rPr>
        <w:t xml:space="preserve">1, </w:t>
      </w:r>
      <w:r w:rsidR="006205F3">
        <w:rPr>
          <w:rFonts w:ascii="Times New Roman" w:hAnsi="Times New Roman" w:cs="Times New Roman"/>
          <w:sz w:val="20"/>
          <w:szCs w:val="20"/>
          <w:shd w:val="clear" w:color="auto" w:fill="FFFFFF"/>
          <w:lang w:val="en-US"/>
        </w:rPr>
        <w:t>c</w:t>
      </w:r>
      <w:r w:rsidR="006205F3" w:rsidRPr="006205F3">
        <w:rPr>
          <w:rFonts w:ascii="Times New Roman" w:hAnsi="Times New Roman" w:cs="Times New Roman"/>
          <w:sz w:val="20"/>
          <w:szCs w:val="20"/>
          <w:shd w:val="clear" w:color="auto" w:fill="FFFFFF"/>
        </w:rPr>
        <w:t xml:space="preserve">. </w:t>
      </w:r>
      <w:proofErr w:type="gramStart"/>
      <w:r w:rsidR="006205F3" w:rsidRPr="006205F3">
        <w:rPr>
          <w:rFonts w:ascii="Times New Roman" w:hAnsi="Times New Roman" w:cs="Times New Roman"/>
          <w:sz w:val="20"/>
          <w:szCs w:val="20"/>
          <w:shd w:val="clear" w:color="auto" w:fill="FFFFFF"/>
          <w:lang w:val="ru-RU"/>
        </w:rPr>
        <w:t>124</w:t>
      </w:r>
      <w:r w:rsidR="0063539B" w:rsidRPr="006205F3">
        <w:rPr>
          <w:rFonts w:ascii="Times New Roman" w:hAnsi="Times New Roman" w:cs="Times New Roman"/>
          <w:sz w:val="20"/>
          <w:szCs w:val="20"/>
          <w:shd w:val="clear" w:color="auto" w:fill="FFFFFF"/>
        </w:rPr>
        <w:t>]</w:t>
      </w:r>
      <w:r w:rsidRPr="007B30E1">
        <w:rPr>
          <w:rFonts w:ascii="Times New Roman" w:hAnsi="Times New Roman" w:cs="Times New Roman"/>
          <w:sz w:val="20"/>
          <w:szCs w:val="20"/>
          <w:shd w:val="clear" w:color="auto" w:fill="FFFFFF"/>
        </w:rPr>
        <w:t>.</w:t>
      </w:r>
      <w:proofErr w:type="gramEnd"/>
    </w:p>
    <w:p w:rsidR="00C23E16" w:rsidRPr="00F015B0" w:rsidRDefault="0063539B" w:rsidP="00822CFB">
      <w:pPr>
        <w:tabs>
          <w:tab w:val="left" w:pos="4287"/>
        </w:tabs>
        <w:spacing w:line="240" w:lineRule="auto"/>
        <w:rPr>
          <w:rFonts w:ascii="Times New Roman" w:hAnsi="Times New Roman" w:cs="Times New Roman"/>
          <w:sz w:val="20"/>
          <w:szCs w:val="20"/>
          <w:lang w:val="ru-RU"/>
        </w:rPr>
      </w:pPr>
      <w:r>
        <w:rPr>
          <w:rFonts w:ascii="Times New Roman" w:hAnsi="Times New Roman" w:cs="Times New Roman"/>
          <w:sz w:val="20"/>
          <w:szCs w:val="20"/>
          <w:shd w:val="clear" w:color="auto" w:fill="FFFFFF"/>
        </w:rPr>
        <w:t xml:space="preserve">Окрім того, саме </w:t>
      </w:r>
      <w:r>
        <w:rPr>
          <w:rFonts w:ascii="Times New Roman" w:hAnsi="Times New Roman" w:cs="Times New Roman"/>
          <w:sz w:val="20"/>
          <w:szCs w:val="20"/>
        </w:rPr>
        <w:t>Європейський Союз являється</w:t>
      </w:r>
      <w:r>
        <w:rPr>
          <w:rFonts w:ascii="Times New Roman" w:hAnsi="Times New Roman" w:cs="Times New Roman"/>
          <w:sz w:val="20"/>
          <w:szCs w:val="20"/>
          <w:shd w:val="clear" w:color="auto" w:fill="FFFFFF"/>
        </w:rPr>
        <w:t xml:space="preserve"> </w:t>
      </w:r>
      <w:r w:rsidR="008E6574" w:rsidRPr="000F15D1">
        <w:rPr>
          <w:rFonts w:ascii="Times New Roman" w:hAnsi="Times New Roman" w:cs="Times New Roman"/>
          <w:sz w:val="20"/>
          <w:szCs w:val="20"/>
        </w:rPr>
        <w:t xml:space="preserve">піонером створення «зеленої» економіки </w:t>
      </w:r>
      <w:r>
        <w:rPr>
          <w:rFonts w:ascii="Times New Roman" w:hAnsi="Times New Roman" w:cs="Times New Roman"/>
          <w:sz w:val="20"/>
          <w:szCs w:val="20"/>
        </w:rPr>
        <w:t xml:space="preserve">та на сьогодні, являється </w:t>
      </w:r>
      <w:r w:rsidR="008E6574" w:rsidRPr="000F15D1">
        <w:rPr>
          <w:rFonts w:ascii="Times New Roman" w:hAnsi="Times New Roman" w:cs="Times New Roman"/>
          <w:sz w:val="20"/>
          <w:szCs w:val="20"/>
        </w:rPr>
        <w:t>своє</w:t>
      </w:r>
      <w:r>
        <w:rPr>
          <w:rFonts w:ascii="Times New Roman" w:hAnsi="Times New Roman" w:cs="Times New Roman"/>
          <w:sz w:val="20"/>
          <w:szCs w:val="20"/>
        </w:rPr>
        <w:t>рідним політичним, економічним і</w:t>
      </w:r>
      <w:r w:rsidR="008E6574" w:rsidRPr="000F15D1">
        <w:rPr>
          <w:rFonts w:ascii="Times New Roman" w:hAnsi="Times New Roman" w:cs="Times New Roman"/>
          <w:sz w:val="20"/>
          <w:szCs w:val="20"/>
        </w:rPr>
        <w:t xml:space="preserve"> технологічним локомотивом розвитку галузі не тільки в Європі, а й у світі.</w:t>
      </w:r>
      <w:r>
        <w:rPr>
          <w:rFonts w:ascii="Times New Roman" w:hAnsi="Times New Roman" w:cs="Times New Roman"/>
          <w:sz w:val="20"/>
          <w:szCs w:val="20"/>
        </w:rPr>
        <w:t xml:space="preserve"> Зокрема, к</w:t>
      </w:r>
      <w:r w:rsidR="0047601E">
        <w:rPr>
          <w:rFonts w:ascii="Times New Roman" w:hAnsi="Times New Roman" w:cs="Times New Roman"/>
          <w:sz w:val="20"/>
          <w:szCs w:val="20"/>
        </w:rPr>
        <w:t>лючовим регулятором ЄС із впровадження та використання альтернативної енергетики</w:t>
      </w:r>
      <w:r w:rsidR="008E6574" w:rsidRPr="000F15D1">
        <w:rPr>
          <w:rFonts w:ascii="Times New Roman" w:hAnsi="Times New Roman" w:cs="Times New Roman"/>
          <w:sz w:val="20"/>
          <w:szCs w:val="20"/>
        </w:rPr>
        <w:t xml:space="preserve"> є Директива 2009/28/EC щодо заохочення використання</w:t>
      </w:r>
      <w:r w:rsidR="0047601E">
        <w:rPr>
          <w:rFonts w:ascii="Times New Roman" w:hAnsi="Times New Roman" w:cs="Times New Roman"/>
          <w:sz w:val="20"/>
          <w:szCs w:val="20"/>
        </w:rPr>
        <w:t xml:space="preserve"> енергії з відновлюваних джерел</w:t>
      </w:r>
      <w:r w:rsidR="00D45AC5" w:rsidRPr="00D45AC5">
        <w:rPr>
          <w:rFonts w:ascii="Times New Roman" w:hAnsi="Times New Roman" w:cs="Times New Roman"/>
          <w:sz w:val="20"/>
          <w:szCs w:val="20"/>
        </w:rPr>
        <w:t xml:space="preserve"> [7]</w:t>
      </w:r>
      <w:r w:rsidR="00253B70">
        <w:rPr>
          <w:rFonts w:ascii="Times New Roman" w:hAnsi="Times New Roman" w:cs="Times New Roman"/>
          <w:sz w:val="20"/>
          <w:szCs w:val="20"/>
        </w:rPr>
        <w:t>, за якої встановлена обов’язкова частка</w:t>
      </w:r>
      <w:r w:rsidR="008E6574" w:rsidRPr="000F15D1">
        <w:rPr>
          <w:rFonts w:ascii="Times New Roman" w:hAnsi="Times New Roman" w:cs="Times New Roman"/>
          <w:sz w:val="20"/>
          <w:szCs w:val="20"/>
        </w:rPr>
        <w:t xml:space="preserve"> </w:t>
      </w:r>
      <w:r w:rsidR="00253B70">
        <w:rPr>
          <w:rFonts w:ascii="Times New Roman" w:hAnsi="Times New Roman" w:cs="Times New Roman"/>
          <w:sz w:val="20"/>
          <w:szCs w:val="20"/>
        </w:rPr>
        <w:t>ВДЕ</w:t>
      </w:r>
      <w:r w:rsidR="008E6574" w:rsidRPr="000F15D1">
        <w:rPr>
          <w:rFonts w:ascii="Times New Roman" w:hAnsi="Times New Roman" w:cs="Times New Roman"/>
          <w:sz w:val="20"/>
          <w:szCs w:val="20"/>
        </w:rPr>
        <w:t xml:space="preserve"> у валовому кінцевому споживанні енергії. Кожна </w:t>
      </w:r>
      <w:r w:rsidR="00253B70">
        <w:rPr>
          <w:rFonts w:ascii="Times New Roman" w:hAnsi="Times New Roman" w:cs="Times New Roman"/>
          <w:sz w:val="20"/>
          <w:szCs w:val="20"/>
        </w:rPr>
        <w:t>країна в межах ЄС</w:t>
      </w:r>
      <w:r w:rsidR="008E6574" w:rsidRPr="000F15D1">
        <w:rPr>
          <w:rFonts w:ascii="Times New Roman" w:hAnsi="Times New Roman" w:cs="Times New Roman"/>
          <w:sz w:val="20"/>
          <w:szCs w:val="20"/>
        </w:rPr>
        <w:t xml:space="preserve"> має </w:t>
      </w:r>
      <w:r w:rsidR="00253B70">
        <w:rPr>
          <w:rFonts w:ascii="Times New Roman" w:hAnsi="Times New Roman" w:cs="Times New Roman"/>
          <w:sz w:val="20"/>
          <w:szCs w:val="20"/>
        </w:rPr>
        <w:t>індивідуальні цілі та межі застосування альтернативної енергетики</w:t>
      </w:r>
      <w:r w:rsidR="008E6574" w:rsidRPr="000F15D1">
        <w:rPr>
          <w:rFonts w:ascii="Times New Roman" w:hAnsi="Times New Roman" w:cs="Times New Roman"/>
          <w:sz w:val="20"/>
          <w:szCs w:val="20"/>
        </w:rPr>
        <w:t>, але спільна мета</w:t>
      </w:r>
      <w:r w:rsidR="00253B70">
        <w:rPr>
          <w:rFonts w:ascii="Times New Roman" w:hAnsi="Times New Roman" w:cs="Times New Roman"/>
          <w:sz w:val="20"/>
          <w:szCs w:val="20"/>
        </w:rPr>
        <w:t xml:space="preserve"> -  досягнення</w:t>
      </w:r>
      <w:r w:rsidR="008E6574" w:rsidRPr="000F15D1">
        <w:rPr>
          <w:rFonts w:ascii="Times New Roman" w:hAnsi="Times New Roman" w:cs="Times New Roman"/>
          <w:sz w:val="20"/>
          <w:szCs w:val="20"/>
        </w:rPr>
        <w:t xml:space="preserve"> 20 %  </w:t>
      </w:r>
      <w:r w:rsidR="00253B70">
        <w:rPr>
          <w:rFonts w:ascii="Times New Roman" w:hAnsi="Times New Roman" w:cs="Times New Roman"/>
          <w:sz w:val="20"/>
          <w:szCs w:val="20"/>
        </w:rPr>
        <w:t>споживання ВДЕ у загальній структурі енергетичного балансу</w:t>
      </w:r>
      <w:r w:rsidR="008E6574" w:rsidRPr="000F15D1">
        <w:rPr>
          <w:rFonts w:ascii="Times New Roman" w:hAnsi="Times New Roman" w:cs="Times New Roman"/>
          <w:sz w:val="20"/>
          <w:szCs w:val="20"/>
        </w:rPr>
        <w:t xml:space="preserve"> </w:t>
      </w:r>
      <w:r w:rsidR="00253B70">
        <w:rPr>
          <w:rFonts w:ascii="Times New Roman" w:hAnsi="Times New Roman" w:cs="Times New Roman"/>
          <w:sz w:val="20"/>
          <w:szCs w:val="20"/>
        </w:rPr>
        <w:t>до</w:t>
      </w:r>
      <w:r w:rsidR="008E6574" w:rsidRPr="000F15D1">
        <w:rPr>
          <w:rFonts w:ascii="Times New Roman" w:hAnsi="Times New Roman" w:cs="Times New Roman"/>
          <w:sz w:val="20"/>
          <w:szCs w:val="20"/>
        </w:rPr>
        <w:t xml:space="preserve"> 2020 р.</w:t>
      </w:r>
      <w:r w:rsidR="00F015B0" w:rsidRPr="00F015B0">
        <w:rPr>
          <w:rFonts w:ascii="Times New Roman" w:hAnsi="Times New Roman" w:cs="Times New Roman"/>
          <w:sz w:val="20"/>
          <w:szCs w:val="20"/>
          <w:lang w:val="ru-RU"/>
        </w:rPr>
        <w:t xml:space="preserve"> [2].</w:t>
      </w:r>
    </w:p>
    <w:p w:rsidR="00822CFB" w:rsidRPr="00F015B0" w:rsidRDefault="008E6574" w:rsidP="00822CFB">
      <w:pPr>
        <w:tabs>
          <w:tab w:val="left" w:pos="4287"/>
        </w:tabs>
        <w:spacing w:line="240" w:lineRule="auto"/>
        <w:rPr>
          <w:rFonts w:ascii="Times New Roman" w:hAnsi="Times New Roman" w:cs="Times New Roman"/>
          <w:sz w:val="20"/>
          <w:szCs w:val="20"/>
          <w:lang w:val="ru-RU"/>
        </w:rPr>
      </w:pPr>
      <w:r w:rsidRPr="000F15D1">
        <w:rPr>
          <w:rFonts w:ascii="Times New Roman" w:hAnsi="Times New Roman" w:cs="Times New Roman"/>
          <w:sz w:val="20"/>
          <w:szCs w:val="20"/>
        </w:rPr>
        <w:t xml:space="preserve">Важливо </w:t>
      </w:r>
      <w:r w:rsidR="00253B70">
        <w:rPr>
          <w:rFonts w:ascii="Times New Roman" w:hAnsi="Times New Roman" w:cs="Times New Roman"/>
          <w:sz w:val="20"/>
          <w:szCs w:val="20"/>
        </w:rPr>
        <w:t>також наголосити, що Д</w:t>
      </w:r>
      <w:r w:rsidRPr="000F15D1">
        <w:rPr>
          <w:rFonts w:ascii="Times New Roman" w:hAnsi="Times New Roman" w:cs="Times New Roman"/>
          <w:sz w:val="20"/>
          <w:szCs w:val="20"/>
        </w:rPr>
        <w:t xml:space="preserve">иректива </w:t>
      </w:r>
      <w:r w:rsidR="00253B70">
        <w:rPr>
          <w:rFonts w:ascii="Times New Roman" w:hAnsi="Times New Roman" w:cs="Times New Roman"/>
          <w:sz w:val="20"/>
          <w:szCs w:val="20"/>
        </w:rPr>
        <w:t xml:space="preserve">зобов’язує </w:t>
      </w:r>
      <w:r w:rsidRPr="000F15D1">
        <w:rPr>
          <w:rFonts w:ascii="Times New Roman" w:hAnsi="Times New Roman" w:cs="Times New Roman"/>
          <w:sz w:val="20"/>
          <w:szCs w:val="20"/>
        </w:rPr>
        <w:t>встановлення такої ціни на енергію, яка б відображала зовнішні затрати виробництва і споживання енергії. Визначено також завдання з розвитк</w:t>
      </w:r>
      <w:r w:rsidR="00C23E16">
        <w:rPr>
          <w:rFonts w:ascii="Times New Roman" w:hAnsi="Times New Roman" w:cs="Times New Roman"/>
          <w:sz w:val="20"/>
          <w:szCs w:val="20"/>
        </w:rPr>
        <w:t>у інфраструктури електропередач</w:t>
      </w:r>
      <w:r w:rsidRPr="000F15D1">
        <w:rPr>
          <w:rFonts w:ascii="Times New Roman" w:hAnsi="Times New Roman" w:cs="Times New Roman"/>
          <w:sz w:val="20"/>
          <w:szCs w:val="20"/>
        </w:rPr>
        <w:t xml:space="preserve"> і ро</w:t>
      </w:r>
      <w:r w:rsidR="0047601E">
        <w:rPr>
          <w:rFonts w:ascii="Times New Roman" w:hAnsi="Times New Roman" w:cs="Times New Roman"/>
          <w:sz w:val="20"/>
          <w:szCs w:val="20"/>
        </w:rPr>
        <w:t xml:space="preserve">зподілу електроенергії, </w:t>
      </w:r>
      <w:proofErr w:type="spellStart"/>
      <w:r w:rsidR="0047601E">
        <w:rPr>
          <w:rFonts w:ascii="Times New Roman" w:hAnsi="Times New Roman" w:cs="Times New Roman"/>
          <w:sz w:val="20"/>
          <w:szCs w:val="20"/>
        </w:rPr>
        <w:t>акумулю</w:t>
      </w:r>
      <w:r w:rsidRPr="000F15D1">
        <w:rPr>
          <w:rFonts w:ascii="Times New Roman" w:hAnsi="Times New Roman" w:cs="Times New Roman"/>
          <w:sz w:val="20"/>
          <w:szCs w:val="20"/>
        </w:rPr>
        <w:t>ючих</w:t>
      </w:r>
      <w:proofErr w:type="spellEnd"/>
      <w:r w:rsidRPr="000F15D1">
        <w:rPr>
          <w:rFonts w:ascii="Times New Roman" w:hAnsi="Times New Roman" w:cs="Times New Roman"/>
          <w:sz w:val="20"/>
          <w:szCs w:val="20"/>
        </w:rPr>
        <w:t xml:space="preserve"> станцій і системи електропостачання.</w:t>
      </w:r>
      <w:r w:rsidR="00253B70">
        <w:rPr>
          <w:rFonts w:ascii="Times New Roman" w:hAnsi="Times New Roman" w:cs="Times New Roman"/>
          <w:sz w:val="20"/>
          <w:szCs w:val="20"/>
        </w:rPr>
        <w:t xml:space="preserve"> У свою чергу, від держав-членів очікують</w:t>
      </w:r>
      <w:r w:rsidRPr="000F15D1">
        <w:rPr>
          <w:rFonts w:ascii="Times New Roman" w:hAnsi="Times New Roman" w:cs="Times New Roman"/>
          <w:sz w:val="20"/>
          <w:szCs w:val="20"/>
        </w:rPr>
        <w:t xml:space="preserve"> вжиття належних заходів для прискорення процедур легалізації доступу до електричної мережі, і координування доступу до мережі з адміністративними та планувальними процедурами, які сприятимуть майбутнім інвестиціям у відновлювані джерела енергії</w:t>
      </w:r>
      <w:r w:rsidR="00F015B0" w:rsidRPr="00F015B0">
        <w:rPr>
          <w:rFonts w:ascii="Times New Roman" w:hAnsi="Times New Roman" w:cs="Times New Roman"/>
          <w:sz w:val="20"/>
          <w:szCs w:val="20"/>
        </w:rPr>
        <w:t xml:space="preserve"> [2]</w:t>
      </w:r>
      <w:r w:rsidRPr="000F15D1">
        <w:rPr>
          <w:rFonts w:ascii="Times New Roman" w:hAnsi="Times New Roman" w:cs="Times New Roman"/>
          <w:sz w:val="20"/>
          <w:szCs w:val="20"/>
        </w:rPr>
        <w:t xml:space="preserve">. </w:t>
      </w:r>
      <w:r w:rsidR="00822CFB">
        <w:rPr>
          <w:rFonts w:ascii="Times New Roman" w:hAnsi="Times New Roman" w:cs="Times New Roman"/>
          <w:sz w:val="20"/>
          <w:szCs w:val="20"/>
        </w:rPr>
        <w:t xml:space="preserve">Як результат, у останньому звіті ЄС за контролем виконання </w:t>
      </w:r>
      <w:r w:rsidR="00FE05F2">
        <w:rPr>
          <w:rFonts w:ascii="Times New Roman" w:hAnsi="Times New Roman" w:cs="Times New Roman"/>
          <w:sz w:val="20"/>
          <w:szCs w:val="20"/>
        </w:rPr>
        <w:t xml:space="preserve">інструкцій </w:t>
      </w:r>
      <w:r w:rsidR="00822CFB">
        <w:rPr>
          <w:rFonts w:ascii="Times New Roman" w:hAnsi="Times New Roman" w:cs="Times New Roman"/>
          <w:sz w:val="20"/>
          <w:szCs w:val="20"/>
        </w:rPr>
        <w:t>Директиви, станом на 2015</w:t>
      </w:r>
      <w:r w:rsidRPr="000F15D1">
        <w:rPr>
          <w:rFonts w:ascii="Times New Roman" w:hAnsi="Times New Roman" w:cs="Times New Roman"/>
          <w:sz w:val="20"/>
          <w:szCs w:val="20"/>
        </w:rPr>
        <w:t xml:space="preserve"> р.</w:t>
      </w:r>
      <w:r w:rsidR="00822CFB">
        <w:rPr>
          <w:rFonts w:ascii="Times New Roman" w:hAnsi="Times New Roman" w:cs="Times New Roman"/>
          <w:sz w:val="20"/>
          <w:szCs w:val="20"/>
        </w:rPr>
        <w:t xml:space="preserve"> ЄС зекономили більше, </w:t>
      </w:r>
      <w:r w:rsidR="00822CFB">
        <w:rPr>
          <w:rFonts w:ascii="Times New Roman" w:hAnsi="Times New Roman" w:cs="Times New Roman"/>
          <w:sz w:val="20"/>
          <w:szCs w:val="20"/>
        </w:rPr>
        <w:lastRenderedPageBreak/>
        <w:t xml:space="preserve">як 16 </w:t>
      </w:r>
      <w:proofErr w:type="spellStart"/>
      <w:r w:rsidR="00822CFB">
        <w:rPr>
          <w:rFonts w:ascii="Times New Roman" w:hAnsi="Times New Roman" w:cs="Times New Roman"/>
          <w:sz w:val="20"/>
          <w:szCs w:val="20"/>
        </w:rPr>
        <w:t>млрд</w:t>
      </w:r>
      <w:proofErr w:type="spellEnd"/>
      <w:r w:rsidR="00822CFB">
        <w:rPr>
          <w:rFonts w:ascii="Times New Roman" w:hAnsi="Times New Roman" w:cs="Times New Roman"/>
          <w:sz w:val="20"/>
          <w:szCs w:val="20"/>
        </w:rPr>
        <w:t xml:space="preserve"> євро через скорочення імпорту традиційних горючих корисних копалин та планується збільшення </w:t>
      </w:r>
      <w:r w:rsidR="00FE05F2">
        <w:rPr>
          <w:rFonts w:ascii="Times New Roman" w:hAnsi="Times New Roman" w:cs="Times New Roman"/>
          <w:sz w:val="20"/>
          <w:szCs w:val="20"/>
        </w:rPr>
        <w:t xml:space="preserve">цієї </w:t>
      </w:r>
      <w:r w:rsidR="00822CFB">
        <w:rPr>
          <w:rFonts w:ascii="Times New Roman" w:hAnsi="Times New Roman" w:cs="Times New Roman"/>
          <w:sz w:val="20"/>
          <w:szCs w:val="20"/>
        </w:rPr>
        <w:t xml:space="preserve">суми до 58 </w:t>
      </w:r>
      <w:proofErr w:type="spellStart"/>
      <w:r w:rsidR="00822CFB">
        <w:rPr>
          <w:rFonts w:ascii="Times New Roman" w:hAnsi="Times New Roman" w:cs="Times New Roman"/>
          <w:sz w:val="20"/>
          <w:szCs w:val="20"/>
        </w:rPr>
        <w:t>млрд</w:t>
      </w:r>
      <w:proofErr w:type="spellEnd"/>
      <w:r w:rsidR="00822CFB">
        <w:rPr>
          <w:rFonts w:ascii="Times New Roman" w:hAnsi="Times New Roman" w:cs="Times New Roman"/>
          <w:sz w:val="20"/>
          <w:szCs w:val="20"/>
        </w:rPr>
        <w:t xml:space="preserve"> євро до 2030 р.</w:t>
      </w:r>
      <w:r w:rsidRPr="000F15D1">
        <w:rPr>
          <w:rFonts w:ascii="Times New Roman" w:hAnsi="Times New Roman" w:cs="Times New Roman"/>
          <w:sz w:val="20"/>
          <w:szCs w:val="20"/>
        </w:rPr>
        <w:t xml:space="preserve"> </w:t>
      </w:r>
      <w:r w:rsidR="00F015B0" w:rsidRPr="00F015B0">
        <w:rPr>
          <w:rFonts w:ascii="Times New Roman" w:hAnsi="Times New Roman" w:cs="Times New Roman"/>
          <w:sz w:val="20"/>
          <w:szCs w:val="20"/>
          <w:lang w:val="ru-RU"/>
        </w:rPr>
        <w:t>[8].</w:t>
      </w:r>
    </w:p>
    <w:p w:rsidR="00F015B0" w:rsidRDefault="00822CFB" w:rsidP="00B87AAF">
      <w:pPr>
        <w:tabs>
          <w:tab w:val="left" w:pos="4287"/>
        </w:tabs>
        <w:spacing w:line="240" w:lineRule="auto"/>
        <w:rPr>
          <w:rFonts w:ascii="Times New Roman" w:hAnsi="Times New Roman" w:cs="Times New Roman"/>
          <w:sz w:val="20"/>
          <w:szCs w:val="20"/>
        </w:rPr>
      </w:pPr>
      <w:r>
        <w:rPr>
          <w:rFonts w:ascii="Times New Roman" w:hAnsi="Times New Roman" w:cs="Times New Roman"/>
          <w:sz w:val="20"/>
          <w:szCs w:val="20"/>
        </w:rPr>
        <w:t xml:space="preserve">Заслуговує уваги і політика Китаю </w:t>
      </w:r>
      <w:r w:rsidR="008E6574" w:rsidRPr="000F15D1">
        <w:rPr>
          <w:rFonts w:ascii="Times New Roman" w:hAnsi="Times New Roman" w:cs="Times New Roman"/>
          <w:sz w:val="20"/>
          <w:szCs w:val="20"/>
        </w:rPr>
        <w:t>у контексті розвитку ВДЕ</w:t>
      </w:r>
      <w:r>
        <w:rPr>
          <w:rFonts w:ascii="Times New Roman" w:hAnsi="Times New Roman" w:cs="Times New Roman"/>
          <w:sz w:val="20"/>
          <w:szCs w:val="20"/>
        </w:rPr>
        <w:t>, яка базується на пріорите</w:t>
      </w:r>
      <w:r w:rsidR="00FE05F2">
        <w:rPr>
          <w:rFonts w:ascii="Times New Roman" w:hAnsi="Times New Roman" w:cs="Times New Roman"/>
          <w:sz w:val="20"/>
          <w:szCs w:val="20"/>
        </w:rPr>
        <w:t>тних цілях збільшення</w:t>
      </w:r>
      <w:r>
        <w:rPr>
          <w:rFonts w:ascii="Times New Roman" w:hAnsi="Times New Roman" w:cs="Times New Roman"/>
          <w:sz w:val="20"/>
          <w:szCs w:val="20"/>
        </w:rPr>
        <w:t xml:space="preserve"> частки альтернативної</w:t>
      </w:r>
      <w:r w:rsidR="00FE05F2">
        <w:rPr>
          <w:rFonts w:ascii="Times New Roman" w:hAnsi="Times New Roman" w:cs="Times New Roman"/>
          <w:sz w:val="20"/>
          <w:szCs w:val="20"/>
        </w:rPr>
        <w:t xml:space="preserve"> енергетики</w:t>
      </w:r>
      <w:r>
        <w:rPr>
          <w:rFonts w:ascii="Times New Roman" w:hAnsi="Times New Roman" w:cs="Times New Roman"/>
          <w:sz w:val="20"/>
          <w:szCs w:val="20"/>
        </w:rPr>
        <w:t xml:space="preserve"> з нинішніх 7,5 до 15 % у 2020 р.  Такий крок має на меті забезпечення високих темпів</w:t>
      </w:r>
      <w:r w:rsidR="008E6574" w:rsidRPr="000F15D1">
        <w:rPr>
          <w:rFonts w:ascii="Times New Roman" w:hAnsi="Times New Roman" w:cs="Times New Roman"/>
          <w:sz w:val="20"/>
          <w:szCs w:val="20"/>
        </w:rPr>
        <w:t xml:space="preserve"> приросту виробництва електроенергії (до щорічних 25 %). Загалом, політика </w:t>
      </w:r>
      <w:r w:rsidR="00BE16BA">
        <w:rPr>
          <w:rFonts w:ascii="Times New Roman" w:hAnsi="Times New Roman" w:cs="Times New Roman"/>
          <w:sz w:val="20"/>
          <w:szCs w:val="20"/>
        </w:rPr>
        <w:t xml:space="preserve">Китаю у галузі «зеленої» енергобезпеки </w:t>
      </w:r>
      <w:r w:rsidR="00FE05F2">
        <w:rPr>
          <w:rFonts w:ascii="Times New Roman" w:hAnsi="Times New Roman" w:cs="Times New Roman"/>
          <w:sz w:val="20"/>
          <w:szCs w:val="20"/>
        </w:rPr>
        <w:t xml:space="preserve">має </w:t>
      </w:r>
      <w:proofErr w:type="spellStart"/>
      <w:r w:rsidR="00FE05F2">
        <w:rPr>
          <w:rFonts w:ascii="Times New Roman" w:hAnsi="Times New Roman" w:cs="Times New Roman"/>
          <w:sz w:val="20"/>
          <w:szCs w:val="20"/>
        </w:rPr>
        <w:t>трьох</w:t>
      </w:r>
      <w:r w:rsidR="00BE16BA">
        <w:rPr>
          <w:rFonts w:ascii="Times New Roman" w:hAnsi="Times New Roman" w:cs="Times New Roman"/>
          <w:sz w:val="20"/>
          <w:szCs w:val="20"/>
        </w:rPr>
        <w:t>рівневу</w:t>
      </w:r>
      <w:proofErr w:type="spellEnd"/>
      <w:r w:rsidR="00BE16BA">
        <w:rPr>
          <w:rFonts w:ascii="Times New Roman" w:hAnsi="Times New Roman" w:cs="Times New Roman"/>
          <w:sz w:val="20"/>
          <w:szCs w:val="20"/>
        </w:rPr>
        <w:t xml:space="preserve"> структуру</w:t>
      </w:r>
      <w:r w:rsidR="008E6574" w:rsidRPr="000F15D1">
        <w:rPr>
          <w:rFonts w:ascii="Times New Roman" w:hAnsi="Times New Roman" w:cs="Times New Roman"/>
          <w:sz w:val="20"/>
          <w:szCs w:val="20"/>
        </w:rPr>
        <w:t xml:space="preserve">: на першому – держава визначає основні цілі та напрями політики, на другому – означені цілі втілюють у державні </w:t>
      </w:r>
      <w:r w:rsidR="00BE16BA">
        <w:rPr>
          <w:rFonts w:ascii="Times New Roman" w:hAnsi="Times New Roman" w:cs="Times New Roman"/>
          <w:sz w:val="20"/>
          <w:szCs w:val="20"/>
        </w:rPr>
        <w:t>н</w:t>
      </w:r>
      <w:r w:rsidR="008E6574" w:rsidRPr="000F15D1">
        <w:rPr>
          <w:rFonts w:ascii="Times New Roman" w:hAnsi="Times New Roman" w:cs="Times New Roman"/>
          <w:sz w:val="20"/>
          <w:szCs w:val="20"/>
        </w:rPr>
        <w:t>ормативні документи, плани та програми (зокрема, п’ятирічні плани розвитку ВДЕ), третій рівень складають практичні управлінські дії з допомоги реалізації визначених цілей</w:t>
      </w:r>
      <w:r w:rsidR="00F015B0" w:rsidRPr="00F015B0">
        <w:rPr>
          <w:rFonts w:ascii="Times New Roman" w:hAnsi="Times New Roman" w:cs="Times New Roman"/>
          <w:sz w:val="20"/>
          <w:szCs w:val="20"/>
        </w:rPr>
        <w:t xml:space="preserve"> [2]</w:t>
      </w:r>
      <w:r w:rsidR="00EF4127">
        <w:rPr>
          <w:rFonts w:ascii="Times New Roman" w:hAnsi="Times New Roman" w:cs="Times New Roman"/>
          <w:sz w:val="20"/>
          <w:szCs w:val="20"/>
        </w:rPr>
        <w:t>.</w:t>
      </w:r>
    </w:p>
    <w:p w:rsidR="003B1384" w:rsidRDefault="00EF4127" w:rsidP="00B87AAF">
      <w:pPr>
        <w:tabs>
          <w:tab w:val="left" w:pos="428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E6574" w:rsidRPr="000F15D1">
        <w:rPr>
          <w:rFonts w:ascii="Times New Roman" w:hAnsi="Times New Roman" w:cs="Times New Roman"/>
          <w:sz w:val="20"/>
          <w:szCs w:val="20"/>
        </w:rPr>
        <w:t>Окремо слід наголосити</w:t>
      </w:r>
      <w:r>
        <w:rPr>
          <w:rFonts w:ascii="Times New Roman" w:hAnsi="Times New Roman" w:cs="Times New Roman"/>
          <w:sz w:val="20"/>
          <w:szCs w:val="20"/>
        </w:rPr>
        <w:t xml:space="preserve"> на</w:t>
      </w:r>
      <w:r w:rsidR="008E6574" w:rsidRPr="000F15D1">
        <w:rPr>
          <w:rFonts w:ascii="Times New Roman" w:hAnsi="Times New Roman" w:cs="Times New Roman"/>
          <w:sz w:val="20"/>
          <w:szCs w:val="20"/>
        </w:rPr>
        <w:t xml:space="preserve"> </w:t>
      </w:r>
      <w:r w:rsidR="00BE16BA">
        <w:rPr>
          <w:rFonts w:ascii="Times New Roman" w:hAnsi="Times New Roman" w:cs="Times New Roman"/>
          <w:sz w:val="20"/>
          <w:szCs w:val="20"/>
        </w:rPr>
        <w:t>формуванні ринку</w:t>
      </w:r>
      <w:r w:rsidR="008E6574" w:rsidRPr="000F15D1">
        <w:rPr>
          <w:rFonts w:ascii="Times New Roman" w:hAnsi="Times New Roman" w:cs="Times New Roman"/>
          <w:sz w:val="20"/>
          <w:szCs w:val="20"/>
        </w:rPr>
        <w:t xml:space="preserve"> високотехнологічної продукції у межах розвитку ВДЕ та виходу</w:t>
      </w:r>
      <w:r w:rsidR="00FE05F2">
        <w:rPr>
          <w:rFonts w:ascii="Times New Roman" w:hAnsi="Times New Roman" w:cs="Times New Roman"/>
          <w:sz w:val="20"/>
          <w:szCs w:val="20"/>
        </w:rPr>
        <w:t xml:space="preserve"> Китаю</w:t>
      </w:r>
      <w:r w:rsidR="008E6574" w:rsidRPr="000F15D1">
        <w:rPr>
          <w:rFonts w:ascii="Times New Roman" w:hAnsi="Times New Roman" w:cs="Times New Roman"/>
          <w:sz w:val="20"/>
          <w:szCs w:val="20"/>
        </w:rPr>
        <w:t xml:space="preserve"> на світові ринки. </w:t>
      </w:r>
      <w:r w:rsidR="00BE16BA">
        <w:rPr>
          <w:rFonts w:ascii="Times New Roman" w:hAnsi="Times New Roman" w:cs="Times New Roman"/>
          <w:sz w:val="20"/>
          <w:szCs w:val="20"/>
        </w:rPr>
        <w:t xml:space="preserve">Наразі, Китай займає першість як за </w:t>
      </w:r>
      <w:r w:rsidR="008E6574" w:rsidRPr="000F15D1">
        <w:rPr>
          <w:rFonts w:ascii="Times New Roman" w:hAnsi="Times New Roman" w:cs="Times New Roman"/>
          <w:sz w:val="20"/>
          <w:szCs w:val="20"/>
        </w:rPr>
        <w:t>обся</w:t>
      </w:r>
      <w:r w:rsidR="0047601E">
        <w:rPr>
          <w:rFonts w:ascii="Times New Roman" w:hAnsi="Times New Roman" w:cs="Times New Roman"/>
          <w:sz w:val="20"/>
          <w:szCs w:val="20"/>
        </w:rPr>
        <w:t xml:space="preserve">гами інвестицій у розвиток </w:t>
      </w:r>
      <w:r w:rsidR="00BE16BA">
        <w:rPr>
          <w:rFonts w:ascii="Times New Roman" w:hAnsi="Times New Roman" w:cs="Times New Roman"/>
          <w:sz w:val="20"/>
          <w:szCs w:val="20"/>
        </w:rPr>
        <w:t>альтернативної енергетики,</w:t>
      </w:r>
      <w:r w:rsidR="0047601E">
        <w:rPr>
          <w:rFonts w:ascii="Times New Roman" w:hAnsi="Times New Roman" w:cs="Times New Roman"/>
          <w:sz w:val="20"/>
          <w:szCs w:val="20"/>
        </w:rPr>
        <w:t xml:space="preserve"> </w:t>
      </w:r>
      <w:r w:rsidR="008E6574" w:rsidRPr="000F15D1">
        <w:rPr>
          <w:rFonts w:ascii="Times New Roman" w:hAnsi="Times New Roman" w:cs="Times New Roman"/>
          <w:sz w:val="20"/>
          <w:szCs w:val="20"/>
        </w:rPr>
        <w:t>та</w:t>
      </w:r>
      <w:r w:rsidR="00BE16BA">
        <w:rPr>
          <w:rFonts w:ascii="Times New Roman" w:hAnsi="Times New Roman" w:cs="Times New Roman"/>
          <w:sz w:val="20"/>
          <w:szCs w:val="20"/>
        </w:rPr>
        <w:t>к і за об’ємами створення</w:t>
      </w:r>
      <w:r w:rsidR="008E6574" w:rsidRPr="000F15D1">
        <w:rPr>
          <w:rFonts w:ascii="Times New Roman" w:hAnsi="Times New Roman" w:cs="Times New Roman"/>
          <w:sz w:val="20"/>
          <w:szCs w:val="20"/>
        </w:rPr>
        <w:t xml:space="preserve"> </w:t>
      </w:r>
      <w:r w:rsidR="00BE16BA">
        <w:rPr>
          <w:rFonts w:ascii="Times New Roman" w:hAnsi="Times New Roman" w:cs="Times New Roman"/>
          <w:sz w:val="20"/>
          <w:szCs w:val="20"/>
        </w:rPr>
        <w:t>конкурентних «зелених» технологій. С</w:t>
      </w:r>
      <w:r w:rsidR="008E6574" w:rsidRPr="000F15D1">
        <w:rPr>
          <w:rFonts w:ascii="Times New Roman" w:hAnsi="Times New Roman" w:cs="Times New Roman"/>
          <w:sz w:val="20"/>
          <w:szCs w:val="20"/>
        </w:rPr>
        <w:t>тимулюючи експорт обладнання для об’єктів ВДЕ,</w:t>
      </w:r>
      <w:r w:rsidR="00BE16BA">
        <w:rPr>
          <w:rFonts w:ascii="Times New Roman" w:hAnsi="Times New Roman" w:cs="Times New Roman"/>
          <w:sz w:val="20"/>
          <w:szCs w:val="20"/>
        </w:rPr>
        <w:t xml:space="preserve"> Китай</w:t>
      </w:r>
      <w:r w:rsidR="008E6574" w:rsidRPr="000F15D1">
        <w:rPr>
          <w:rFonts w:ascii="Times New Roman" w:hAnsi="Times New Roman" w:cs="Times New Roman"/>
          <w:sz w:val="20"/>
          <w:szCs w:val="20"/>
        </w:rPr>
        <w:t xml:space="preserve"> успішно завойовує ринки збуту </w:t>
      </w:r>
      <w:r w:rsidR="00FE05F2">
        <w:rPr>
          <w:rFonts w:ascii="Times New Roman" w:hAnsi="Times New Roman" w:cs="Times New Roman"/>
          <w:sz w:val="20"/>
          <w:szCs w:val="20"/>
        </w:rPr>
        <w:t xml:space="preserve">своєї </w:t>
      </w:r>
      <w:r w:rsidR="008E6574" w:rsidRPr="000F15D1">
        <w:rPr>
          <w:rFonts w:ascii="Times New Roman" w:hAnsi="Times New Roman" w:cs="Times New Roman"/>
          <w:sz w:val="20"/>
          <w:szCs w:val="20"/>
        </w:rPr>
        <w:t>продукції</w:t>
      </w:r>
      <w:r w:rsidR="00163B10">
        <w:rPr>
          <w:rFonts w:ascii="Times New Roman" w:hAnsi="Times New Roman" w:cs="Times New Roman"/>
          <w:sz w:val="20"/>
          <w:szCs w:val="20"/>
        </w:rPr>
        <w:t xml:space="preserve">. Зокрема, на сьогодні 9 </w:t>
      </w:r>
      <w:r>
        <w:rPr>
          <w:rFonts w:ascii="Times New Roman" w:hAnsi="Times New Roman" w:cs="Times New Roman"/>
          <w:sz w:val="20"/>
          <w:szCs w:val="20"/>
        </w:rPr>
        <w:t xml:space="preserve">китайських компаній </w:t>
      </w:r>
      <w:r w:rsidR="00FE05F2">
        <w:rPr>
          <w:rFonts w:ascii="Times New Roman" w:hAnsi="Times New Roman" w:cs="Times New Roman"/>
          <w:sz w:val="20"/>
          <w:szCs w:val="20"/>
        </w:rPr>
        <w:t>створюють</w:t>
      </w:r>
      <w:r w:rsidR="008E6574" w:rsidRPr="000F15D1">
        <w:rPr>
          <w:rFonts w:ascii="Times New Roman" w:hAnsi="Times New Roman" w:cs="Times New Roman"/>
          <w:sz w:val="20"/>
          <w:szCs w:val="20"/>
        </w:rPr>
        <w:t xml:space="preserve"> </w:t>
      </w:r>
      <w:r>
        <w:rPr>
          <w:rFonts w:ascii="Times New Roman" w:hAnsi="Times New Roman" w:cs="Times New Roman"/>
          <w:sz w:val="20"/>
          <w:szCs w:val="20"/>
        </w:rPr>
        <w:t>50%</w:t>
      </w:r>
      <w:r w:rsidR="008E6574" w:rsidRPr="000F15D1">
        <w:rPr>
          <w:rFonts w:ascii="Times New Roman" w:hAnsi="Times New Roman" w:cs="Times New Roman"/>
          <w:sz w:val="20"/>
          <w:szCs w:val="20"/>
        </w:rPr>
        <w:t xml:space="preserve"> </w:t>
      </w:r>
      <w:r>
        <w:rPr>
          <w:rFonts w:ascii="Times New Roman" w:hAnsi="Times New Roman" w:cs="Times New Roman"/>
          <w:sz w:val="20"/>
          <w:szCs w:val="20"/>
        </w:rPr>
        <w:t xml:space="preserve">світового експорту </w:t>
      </w:r>
      <w:r w:rsidR="008E6574" w:rsidRPr="000F15D1">
        <w:rPr>
          <w:rFonts w:ascii="Times New Roman" w:hAnsi="Times New Roman" w:cs="Times New Roman"/>
          <w:sz w:val="20"/>
          <w:szCs w:val="20"/>
        </w:rPr>
        <w:t xml:space="preserve">сонячних батарей. </w:t>
      </w:r>
      <w:r w:rsidR="00B87AAF">
        <w:rPr>
          <w:rFonts w:ascii="Times New Roman" w:hAnsi="Times New Roman" w:cs="Times New Roman"/>
          <w:sz w:val="20"/>
          <w:szCs w:val="20"/>
        </w:rPr>
        <w:t xml:space="preserve"> </w:t>
      </w:r>
      <w:r>
        <w:rPr>
          <w:rFonts w:ascii="Times New Roman" w:hAnsi="Times New Roman" w:cs="Times New Roman"/>
          <w:sz w:val="20"/>
          <w:szCs w:val="20"/>
        </w:rPr>
        <w:t>На сучасному етапі розвитку відновлювальних джерел,  їх х</w:t>
      </w:r>
      <w:r w:rsidR="008E6574" w:rsidRPr="000F15D1">
        <w:rPr>
          <w:rFonts w:ascii="Times New Roman" w:hAnsi="Times New Roman" w:cs="Times New Roman"/>
          <w:sz w:val="20"/>
          <w:szCs w:val="20"/>
        </w:rPr>
        <w:t xml:space="preserve">арактерною </w:t>
      </w:r>
      <w:r>
        <w:rPr>
          <w:rFonts w:ascii="Times New Roman" w:hAnsi="Times New Roman" w:cs="Times New Roman"/>
          <w:sz w:val="20"/>
          <w:szCs w:val="20"/>
        </w:rPr>
        <w:t>рисою</w:t>
      </w:r>
      <w:r w:rsidR="008E6574" w:rsidRPr="000F15D1">
        <w:rPr>
          <w:rFonts w:ascii="Times New Roman" w:hAnsi="Times New Roman" w:cs="Times New Roman"/>
          <w:sz w:val="20"/>
          <w:szCs w:val="20"/>
        </w:rPr>
        <w:t xml:space="preserve"> є зростання ролі та активності адміністрацій міст, муніципалі</w:t>
      </w:r>
      <w:r>
        <w:rPr>
          <w:rFonts w:ascii="Times New Roman" w:hAnsi="Times New Roman" w:cs="Times New Roman"/>
          <w:sz w:val="20"/>
          <w:szCs w:val="20"/>
        </w:rPr>
        <w:t>тетів і місцевих органів влади у</w:t>
      </w:r>
      <w:r w:rsidR="008E6574" w:rsidRPr="000F15D1">
        <w:rPr>
          <w:rFonts w:ascii="Times New Roman" w:hAnsi="Times New Roman" w:cs="Times New Roman"/>
          <w:sz w:val="20"/>
          <w:szCs w:val="20"/>
        </w:rPr>
        <w:t xml:space="preserve"> просуванні проектів</w:t>
      </w:r>
      <w:r>
        <w:rPr>
          <w:rFonts w:ascii="Times New Roman" w:hAnsi="Times New Roman" w:cs="Times New Roman"/>
          <w:sz w:val="20"/>
          <w:szCs w:val="20"/>
        </w:rPr>
        <w:t>, націлених на популяризації ВДЕ серед населення, а саме через впровадження систем</w:t>
      </w:r>
      <w:r w:rsidR="008E6574" w:rsidRPr="000F15D1">
        <w:rPr>
          <w:rFonts w:ascii="Times New Roman" w:hAnsi="Times New Roman" w:cs="Times New Roman"/>
          <w:sz w:val="20"/>
          <w:szCs w:val="20"/>
        </w:rPr>
        <w:t xml:space="preserve"> «</w:t>
      </w:r>
      <w:r w:rsidR="00F015B0">
        <w:rPr>
          <w:rFonts w:ascii="Times New Roman" w:hAnsi="Times New Roman" w:cs="Times New Roman"/>
          <w:sz w:val="20"/>
          <w:szCs w:val="20"/>
        </w:rPr>
        <w:t xml:space="preserve">зелених» закупівель та </w:t>
      </w:r>
      <w:r w:rsidR="008E6574" w:rsidRPr="000F15D1">
        <w:rPr>
          <w:rFonts w:ascii="Times New Roman" w:hAnsi="Times New Roman" w:cs="Times New Roman"/>
          <w:sz w:val="20"/>
          <w:szCs w:val="20"/>
        </w:rPr>
        <w:t>сертифікатів, н</w:t>
      </w:r>
      <w:r w:rsidR="00F015B0">
        <w:rPr>
          <w:rFonts w:ascii="Times New Roman" w:hAnsi="Times New Roman" w:cs="Times New Roman"/>
          <w:sz w:val="20"/>
          <w:szCs w:val="20"/>
        </w:rPr>
        <w:t>ормативів «зеленого» будівництва</w:t>
      </w:r>
      <w:r w:rsidR="008E6574" w:rsidRPr="000F15D1">
        <w:rPr>
          <w:rFonts w:ascii="Times New Roman" w:hAnsi="Times New Roman" w:cs="Times New Roman"/>
          <w:sz w:val="20"/>
          <w:szCs w:val="20"/>
        </w:rPr>
        <w:t xml:space="preserve"> тощо.</w:t>
      </w:r>
      <w:r w:rsidR="003B1384">
        <w:rPr>
          <w:rFonts w:ascii="Times New Roman" w:hAnsi="Times New Roman" w:cs="Times New Roman"/>
          <w:sz w:val="20"/>
          <w:szCs w:val="20"/>
        </w:rPr>
        <w:t xml:space="preserve"> </w:t>
      </w:r>
    </w:p>
    <w:p w:rsidR="003B1384" w:rsidRDefault="00B87AAF" w:rsidP="00B87AAF">
      <w:pPr>
        <w:tabs>
          <w:tab w:val="left" w:pos="4287"/>
        </w:tabs>
        <w:spacing w:line="240" w:lineRule="auto"/>
        <w:rPr>
          <w:rFonts w:ascii="Times New Roman" w:hAnsi="Times New Roman" w:cs="Times New Roman"/>
          <w:sz w:val="20"/>
          <w:szCs w:val="20"/>
        </w:rPr>
      </w:pPr>
      <w:r>
        <w:rPr>
          <w:rFonts w:ascii="Times New Roman" w:hAnsi="Times New Roman" w:cs="Times New Roman"/>
          <w:sz w:val="20"/>
          <w:szCs w:val="20"/>
        </w:rPr>
        <w:t>Згідно із прогнозами Міжнародної енергетичної Агенції (IEA) т</w:t>
      </w:r>
      <w:r w:rsidR="00EF4127" w:rsidRPr="000F15D1">
        <w:rPr>
          <w:rFonts w:ascii="Times New Roman" w:hAnsi="Times New Roman" w:cs="Times New Roman"/>
          <w:sz w:val="20"/>
          <w:szCs w:val="20"/>
        </w:rPr>
        <w:t xml:space="preserve">емпи зростання світового виробництва енергії </w:t>
      </w:r>
      <w:r w:rsidR="003B1384">
        <w:rPr>
          <w:rFonts w:ascii="Times New Roman" w:hAnsi="Times New Roman" w:cs="Times New Roman"/>
          <w:sz w:val="20"/>
          <w:szCs w:val="20"/>
        </w:rPr>
        <w:t>на базі</w:t>
      </w:r>
      <w:r w:rsidR="00EF4127" w:rsidRPr="000F15D1">
        <w:rPr>
          <w:rFonts w:ascii="Times New Roman" w:hAnsi="Times New Roman" w:cs="Times New Roman"/>
          <w:sz w:val="20"/>
          <w:szCs w:val="20"/>
        </w:rPr>
        <w:t xml:space="preserve"> ВДЕ у </w:t>
      </w:r>
      <w:r w:rsidR="003B1384">
        <w:rPr>
          <w:rFonts w:ascii="Times New Roman" w:hAnsi="Times New Roman" w:cs="Times New Roman"/>
          <w:sz w:val="20"/>
          <w:szCs w:val="20"/>
        </w:rPr>
        <w:t>перспективі</w:t>
      </w:r>
      <w:r w:rsidR="00EF4127" w:rsidRPr="000F15D1">
        <w:rPr>
          <w:rFonts w:ascii="Times New Roman" w:hAnsi="Times New Roman" w:cs="Times New Roman"/>
          <w:sz w:val="20"/>
          <w:szCs w:val="20"/>
        </w:rPr>
        <w:t xml:space="preserve"> очікуються найбільшими порівняно з іншими видами енергоресурсів. </w:t>
      </w:r>
      <w:r w:rsidR="003B1384">
        <w:rPr>
          <w:rFonts w:ascii="Times New Roman" w:hAnsi="Times New Roman" w:cs="Times New Roman"/>
          <w:sz w:val="20"/>
          <w:szCs w:val="20"/>
        </w:rPr>
        <w:t xml:space="preserve">Зокрема, </w:t>
      </w:r>
      <w:r>
        <w:rPr>
          <w:rFonts w:ascii="Times New Roman" w:hAnsi="Times New Roman" w:cs="Times New Roman"/>
          <w:sz w:val="20"/>
          <w:szCs w:val="20"/>
        </w:rPr>
        <w:t>до</w:t>
      </w:r>
      <w:r w:rsidR="00EF4127" w:rsidRPr="000F15D1">
        <w:rPr>
          <w:rFonts w:ascii="Times New Roman" w:hAnsi="Times New Roman" w:cs="Times New Roman"/>
          <w:sz w:val="20"/>
          <w:szCs w:val="20"/>
        </w:rPr>
        <w:t xml:space="preserve"> 2035р. середньорічне зростання </w:t>
      </w:r>
      <w:r>
        <w:rPr>
          <w:rFonts w:ascii="Times New Roman" w:hAnsi="Times New Roman" w:cs="Times New Roman"/>
          <w:sz w:val="20"/>
          <w:szCs w:val="20"/>
        </w:rPr>
        <w:t>первинної відновлювальної енергії складатиме 7,1%, тобто</w:t>
      </w:r>
      <w:r w:rsidR="00FE05F2">
        <w:rPr>
          <w:rFonts w:ascii="Times New Roman" w:hAnsi="Times New Roman" w:cs="Times New Roman"/>
          <w:sz w:val="20"/>
          <w:szCs w:val="20"/>
        </w:rPr>
        <w:t xml:space="preserve"> прогнозується</w:t>
      </w:r>
      <w:r>
        <w:rPr>
          <w:rFonts w:ascii="Times New Roman" w:hAnsi="Times New Roman" w:cs="Times New Roman"/>
          <w:sz w:val="20"/>
          <w:szCs w:val="20"/>
        </w:rPr>
        <w:t xml:space="preserve"> збільшення виробництва </w:t>
      </w:r>
      <w:r w:rsidR="00EF4127" w:rsidRPr="000F15D1">
        <w:rPr>
          <w:rFonts w:ascii="Times New Roman" w:hAnsi="Times New Roman" w:cs="Times New Roman"/>
          <w:sz w:val="20"/>
          <w:szCs w:val="20"/>
        </w:rPr>
        <w:t xml:space="preserve">майже </w:t>
      </w:r>
      <w:r w:rsidR="00FE05F2">
        <w:rPr>
          <w:rFonts w:ascii="Times New Roman" w:hAnsi="Times New Roman" w:cs="Times New Roman"/>
          <w:sz w:val="20"/>
          <w:szCs w:val="20"/>
        </w:rPr>
        <w:t>в 5,5 разів</w:t>
      </w:r>
      <w:r>
        <w:rPr>
          <w:rFonts w:ascii="Times New Roman" w:hAnsi="Times New Roman" w:cs="Times New Roman"/>
          <w:sz w:val="20"/>
          <w:szCs w:val="20"/>
        </w:rPr>
        <w:t>. У результаті, ц</w:t>
      </w:r>
      <w:r w:rsidR="00EF4127" w:rsidRPr="000F15D1">
        <w:rPr>
          <w:rFonts w:ascii="Times New Roman" w:hAnsi="Times New Roman" w:cs="Times New Roman"/>
          <w:sz w:val="20"/>
          <w:szCs w:val="20"/>
        </w:rPr>
        <w:t xml:space="preserve">е </w:t>
      </w:r>
      <w:r>
        <w:rPr>
          <w:rFonts w:ascii="Times New Roman" w:hAnsi="Times New Roman" w:cs="Times New Roman"/>
          <w:sz w:val="20"/>
          <w:szCs w:val="20"/>
        </w:rPr>
        <w:t xml:space="preserve">вплине і на </w:t>
      </w:r>
      <w:r w:rsidR="00EF4127" w:rsidRPr="000F15D1">
        <w:rPr>
          <w:rFonts w:ascii="Times New Roman" w:hAnsi="Times New Roman" w:cs="Times New Roman"/>
          <w:sz w:val="20"/>
          <w:szCs w:val="20"/>
        </w:rPr>
        <w:t xml:space="preserve">частку ВДЕ у структурі </w:t>
      </w:r>
      <w:r>
        <w:rPr>
          <w:rFonts w:ascii="Times New Roman" w:hAnsi="Times New Roman" w:cs="Times New Roman"/>
          <w:sz w:val="20"/>
          <w:szCs w:val="20"/>
        </w:rPr>
        <w:t>світового</w:t>
      </w:r>
      <w:r w:rsidR="00EF4127" w:rsidRPr="000F15D1">
        <w:rPr>
          <w:rFonts w:ascii="Times New Roman" w:hAnsi="Times New Roman" w:cs="Times New Roman"/>
          <w:sz w:val="20"/>
          <w:szCs w:val="20"/>
        </w:rPr>
        <w:t xml:space="preserve"> споживання </w:t>
      </w:r>
      <w:r>
        <w:rPr>
          <w:rFonts w:ascii="Times New Roman" w:hAnsi="Times New Roman" w:cs="Times New Roman"/>
          <w:sz w:val="20"/>
          <w:szCs w:val="20"/>
        </w:rPr>
        <w:t>енергетики</w:t>
      </w:r>
      <w:r w:rsidR="00FE05F2">
        <w:rPr>
          <w:rFonts w:ascii="Times New Roman" w:hAnsi="Times New Roman" w:cs="Times New Roman"/>
          <w:sz w:val="20"/>
          <w:szCs w:val="20"/>
        </w:rPr>
        <w:t xml:space="preserve"> з 3</w:t>
      </w:r>
      <w:r w:rsidR="00EF4127" w:rsidRPr="000F15D1">
        <w:rPr>
          <w:rFonts w:ascii="Times New Roman" w:hAnsi="Times New Roman" w:cs="Times New Roman"/>
          <w:sz w:val="20"/>
          <w:szCs w:val="20"/>
        </w:rPr>
        <w:t xml:space="preserve"> до 14</w:t>
      </w:r>
      <w:r w:rsidR="00FE05F2">
        <w:rPr>
          <w:rFonts w:ascii="Times New Roman" w:hAnsi="Times New Roman" w:cs="Times New Roman"/>
          <w:sz w:val="20"/>
          <w:szCs w:val="20"/>
        </w:rPr>
        <w:t xml:space="preserve"> %</w:t>
      </w:r>
      <w:r>
        <w:rPr>
          <w:rFonts w:ascii="Times New Roman" w:hAnsi="Times New Roman" w:cs="Times New Roman"/>
          <w:sz w:val="20"/>
          <w:szCs w:val="20"/>
        </w:rPr>
        <w:t>.  Окрім цього, планується, що д</w:t>
      </w:r>
      <w:r w:rsidR="00EF4127" w:rsidRPr="000F15D1">
        <w:rPr>
          <w:rFonts w:ascii="Times New Roman" w:hAnsi="Times New Roman" w:cs="Times New Roman"/>
          <w:sz w:val="20"/>
          <w:szCs w:val="20"/>
        </w:rPr>
        <w:t xml:space="preserve">о 2035р. ВДЕ </w:t>
      </w:r>
      <w:r>
        <w:rPr>
          <w:rFonts w:ascii="Times New Roman" w:hAnsi="Times New Roman" w:cs="Times New Roman"/>
          <w:sz w:val="20"/>
          <w:szCs w:val="20"/>
        </w:rPr>
        <w:t xml:space="preserve">забезпечать </w:t>
      </w:r>
      <w:r w:rsidR="00EF4127" w:rsidRPr="000F15D1">
        <w:rPr>
          <w:rFonts w:ascii="Times New Roman" w:hAnsi="Times New Roman" w:cs="Times New Roman"/>
          <w:sz w:val="20"/>
          <w:szCs w:val="20"/>
        </w:rPr>
        <w:t xml:space="preserve">приріст на рівні 40% </w:t>
      </w:r>
      <w:r w:rsidR="00FE05F2">
        <w:rPr>
          <w:rFonts w:ascii="Times New Roman" w:hAnsi="Times New Roman" w:cs="Times New Roman"/>
          <w:sz w:val="20"/>
          <w:szCs w:val="20"/>
        </w:rPr>
        <w:t xml:space="preserve">від </w:t>
      </w:r>
      <w:r w:rsidR="00EF4127" w:rsidRPr="000F15D1">
        <w:rPr>
          <w:rFonts w:ascii="Times New Roman" w:hAnsi="Times New Roman" w:cs="Times New Roman"/>
          <w:sz w:val="20"/>
          <w:szCs w:val="20"/>
        </w:rPr>
        <w:t>світової</w:t>
      </w:r>
      <w:r>
        <w:rPr>
          <w:rFonts w:ascii="Times New Roman" w:hAnsi="Times New Roman" w:cs="Times New Roman"/>
          <w:sz w:val="20"/>
          <w:szCs w:val="20"/>
        </w:rPr>
        <w:t xml:space="preserve"> електроенергетики</w:t>
      </w:r>
      <w:r w:rsidR="00EF4127" w:rsidRPr="000F15D1">
        <w:rPr>
          <w:rFonts w:ascii="Times New Roman" w:hAnsi="Times New Roman" w:cs="Times New Roman"/>
          <w:sz w:val="20"/>
          <w:szCs w:val="20"/>
        </w:rPr>
        <w:t xml:space="preserve">. </w:t>
      </w:r>
      <w:r w:rsidR="003B1384">
        <w:rPr>
          <w:rFonts w:ascii="Times New Roman" w:hAnsi="Times New Roman" w:cs="Times New Roman"/>
          <w:sz w:val="20"/>
          <w:szCs w:val="20"/>
        </w:rPr>
        <w:t>Що стосується тенденцій</w:t>
      </w:r>
      <w:r w:rsidR="003B1384" w:rsidRPr="000F15D1">
        <w:rPr>
          <w:rFonts w:ascii="Times New Roman" w:hAnsi="Times New Roman" w:cs="Times New Roman"/>
          <w:sz w:val="20"/>
          <w:szCs w:val="20"/>
        </w:rPr>
        <w:t xml:space="preserve"> розвитку енергетичних технологій на період до 2050 р.</w:t>
      </w:r>
      <w:r w:rsidR="00FE05F2">
        <w:rPr>
          <w:rFonts w:ascii="Times New Roman" w:hAnsi="Times New Roman" w:cs="Times New Roman"/>
          <w:sz w:val="20"/>
          <w:szCs w:val="20"/>
        </w:rPr>
        <w:t>, то</w:t>
      </w:r>
      <w:r w:rsidR="003B1384" w:rsidRPr="000F15D1">
        <w:rPr>
          <w:rFonts w:ascii="Times New Roman" w:hAnsi="Times New Roman" w:cs="Times New Roman"/>
          <w:sz w:val="20"/>
          <w:szCs w:val="20"/>
        </w:rPr>
        <w:t xml:space="preserve"> серед перспективних енергетичних технологій </w:t>
      </w:r>
      <w:r>
        <w:rPr>
          <w:rFonts w:ascii="Times New Roman" w:hAnsi="Times New Roman" w:cs="Times New Roman"/>
          <w:sz w:val="20"/>
          <w:szCs w:val="20"/>
        </w:rPr>
        <w:t>виділяють такі: технології безпечної утилізації</w:t>
      </w:r>
      <w:r w:rsidR="003B1384" w:rsidRPr="000F15D1">
        <w:rPr>
          <w:rFonts w:ascii="Times New Roman" w:hAnsi="Times New Roman" w:cs="Times New Roman"/>
          <w:sz w:val="20"/>
          <w:szCs w:val="20"/>
        </w:rPr>
        <w:t xml:space="preserve"> вуглецю, електричні та гібриді автомобілі, вітроенергетика, колектори сонячної енергії, фотоелектричні батареї, біопаливо, </w:t>
      </w:r>
      <w:proofErr w:type="spellStart"/>
      <w:r w:rsidR="003B1384" w:rsidRPr="000F15D1">
        <w:rPr>
          <w:rFonts w:ascii="Times New Roman" w:hAnsi="Times New Roman" w:cs="Times New Roman"/>
          <w:sz w:val="20"/>
          <w:szCs w:val="20"/>
        </w:rPr>
        <w:t>енергоефективні</w:t>
      </w:r>
      <w:proofErr w:type="spellEnd"/>
      <w:r w:rsidR="003B1384" w:rsidRPr="000F15D1">
        <w:rPr>
          <w:rFonts w:ascii="Times New Roman" w:hAnsi="Times New Roman" w:cs="Times New Roman"/>
          <w:sz w:val="20"/>
          <w:szCs w:val="20"/>
        </w:rPr>
        <w:t xml:space="preserve"> будівлі, раціональні електромережі тощо</w:t>
      </w:r>
      <w:r w:rsidR="00F015B0" w:rsidRPr="00F015B0">
        <w:rPr>
          <w:rFonts w:ascii="Times New Roman" w:hAnsi="Times New Roman" w:cs="Times New Roman"/>
          <w:sz w:val="20"/>
          <w:szCs w:val="20"/>
        </w:rPr>
        <w:t xml:space="preserve"> [9]</w:t>
      </w:r>
      <w:r w:rsidR="003B1384">
        <w:rPr>
          <w:rFonts w:ascii="Times New Roman" w:hAnsi="Times New Roman" w:cs="Times New Roman"/>
          <w:sz w:val="20"/>
          <w:szCs w:val="20"/>
        </w:rPr>
        <w:t>.</w:t>
      </w:r>
    </w:p>
    <w:p w:rsidR="00B87AAF" w:rsidRPr="00F77BEA" w:rsidRDefault="00B87AAF" w:rsidP="00BC7926">
      <w:pPr>
        <w:spacing w:line="240" w:lineRule="auto"/>
        <w:rPr>
          <w:rFonts w:ascii="Times New Roman" w:hAnsi="Times New Roman" w:cs="Times New Roman"/>
          <w:color w:val="000000" w:themeColor="text1"/>
          <w:sz w:val="20"/>
          <w:szCs w:val="20"/>
        </w:rPr>
      </w:pPr>
      <w:r>
        <w:rPr>
          <w:rFonts w:ascii="Times New Roman" w:hAnsi="Times New Roman" w:cs="Times New Roman"/>
          <w:sz w:val="20"/>
          <w:szCs w:val="20"/>
        </w:rPr>
        <w:t>Однак, вагомою</w:t>
      </w:r>
      <w:r w:rsidR="00EF4127" w:rsidRPr="000F15D1">
        <w:rPr>
          <w:rFonts w:ascii="Times New Roman" w:hAnsi="Times New Roman" w:cs="Times New Roman"/>
          <w:sz w:val="20"/>
          <w:szCs w:val="20"/>
        </w:rPr>
        <w:t xml:space="preserve"> </w:t>
      </w:r>
      <w:r>
        <w:rPr>
          <w:rFonts w:ascii="Times New Roman" w:hAnsi="Times New Roman" w:cs="Times New Roman"/>
          <w:sz w:val="20"/>
          <w:szCs w:val="20"/>
        </w:rPr>
        <w:t>перешкодою</w:t>
      </w:r>
      <w:r w:rsidR="00EF4127" w:rsidRPr="000F15D1">
        <w:rPr>
          <w:rFonts w:ascii="Times New Roman" w:hAnsi="Times New Roman" w:cs="Times New Roman"/>
          <w:sz w:val="20"/>
          <w:szCs w:val="20"/>
        </w:rPr>
        <w:t xml:space="preserve">, що стримує ще більш динамічніший розвиток </w:t>
      </w:r>
      <w:r w:rsidR="00166F5F">
        <w:rPr>
          <w:rFonts w:ascii="Times New Roman" w:hAnsi="Times New Roman" w:cs="Times New Roman"/>
          <w:sz w:val="20"/>
          <w:szCs w:val="20"/>
        </w:rPr>
        <w:t>сфери «зелених» технологій</w:t>
      </w:r>
      <w:r w:rsidR="00EF4127" w:rsidRPr="000F15D1">
        <w:rPr>
          <w:rFonts w:ascii="Times New Roman" w:hAnsi="Times New Roman" w:cs="Times New Roman"/>
          <w:sz w:val="20"/>
          <w:szCs w:val="20"/>
        </w:rPr>
        <w:t xml:space="preserve"> є необхідність створення великих потужностей для збалансованої роботи</w:t>
      </w:r>
      <w:r w:rsidR="00166F5F">
        <w:rPr>
          <w:rFonts w:ascii="Times New Roman" w:hAnsi="Times New Roman" w:cs="Times New Roman"/>
          <w:sz w:val="20"/>
          <w:szCs w:val="20"/>
        </w:rPr>
        <w:t xml:space="preserve"> такої</w:t>
      </w:r>
      <w:r w:rsidR="00EF4127" w:rsidRPr="000F15D1">
        <w:rPr>
          <w:rFonts w:ascii="Times New Roman" w:hAnsi="Times New Roman" w:cs="Times New Roman"/>
          <w:sz w:val="20"/>
          <w:szCs w:val="20"/>
        </w:rPr>
        <w:t xml:space="preserve"> енергосистеми.</w:t>
      </w:r>
      <w:r w:rsidR="00166F5F">
        <w:rPr>
          <w:rFonts w:ascii="Times New Roman" w:hAnsi="Times New Roman" w:cs="Times New Roman"/>
          <w:sz w:val="20"/>
          <w:szCs w:val="20"/>
        </w:rPr>
        <w:t xml:space="preserve"> Над вирішенням даної проблеми вже </w:t>
      </w:r>
      <w:r w:rsidR="00EF4127" w:rsidRPr="000F15D1">
        <w:rPr>
          <w:rFonts w:ascii="Times New Roman" w:hAnsi="Times New Roman" w:cs="Times New Roman"/>
          <w:sz w:val="20"/>
          <w:szCs w:val="20"/>
        </w:rPr>
        <w:t>працюють провідні</w:t>
      </w:r>
      <w:r w:rsidR="00166F5F">
        <w:rPr>
          <w:rFonts w:ascii="Times New Roman" w:hAnsi="Times New Roman" w:cs="Times New Roman"/>
          <w:sz w:val="20"/>
          <w:szCs w:val="20"/>
        </w:rPr>
        <w:t xml:space="preserve"> глобальні</w:t>
      </w:r>
      <w:r w:rsidR="00EF4127" w:rsidRPr="000F15D1">
        <w:rPr>
          <w:rFonts w:ascii="Times New Roman" w:hAnsi="Times New Roman" w:cs="Times New Roman"/>
          <w:sz w:val="20"/>
          <w:szCs w:val="20"/>
        </w:rPr>
        <w:t xml:space="preserve"> електромашинобудівні компанії та інноваційні центри світу. За прогнозами, показники собівартості та технологічний рівень зберігання енергії </w:t>
      </w:r>
      <w:r w:rsidR="00166F5F">
        <w:rPr>
          <w:rFonts w:ascii="Times New Roman" w:hAnsi="Times New Roman" w:cs="Times New Roman"/>
          <w:sz w:val="20"/>
          <w:szCs w:val="20"/>
        </w:rPr>
        <w:t>вже зовсім скоро</w:t>
      </w:r>
      <w:r w:rsidR="00EF4127" w:rsidRPr="000F15D1">
        <w:rPr>
          <w:rFonts w:ascii="Times New Roman" w:hAnsi="Times New Roman" w:cs="Times New Roman"/>
          <w:sz w:val="20"/>
          <w:szCs w:val="20"/>
        </w:rPr>
        <w:t xml:space="preserve"> </w:t>
      </w:r>
      <w:r w:rsidR="00166F5F">
        <w:rPr>
          <w:rFonts w:ascii="Times New Roman" w:hAnsi="Times New Roman" w:cs="Times New Roman"/>
          <w:sz w:val="20"/>
          <w:szCs w:val="20"/>
        </w:rPr>
        <w:t xml:space="preserve">створять всі </w:t>
      </w:r>
      <w:r w:rsidR="00166F5F" w:rsidRPr="00F77BEA">
        <w:rPr>
          <w:rFonts w:ascii="Times New Roman" w:hAnsi="Times New Roman" w:cs="Times New Roman"/>
          <w:color w:val="000000" w:themeColor="text1"/>
          <w:sz w:val="20"/>
          <w:szCs w:val="20"/>
        </w:rPr>
        <w:t>необхідні умови для ефективного</w:t>
      </w:r>
      <w:r w:rsidR="00EF4127" w:rsidRPr="00F77BEA">
        <w:rPr>
          <w:rFonts w:ascii="Times New Roman" w:hAnsi="Times New Roman" w:cs="Times New Roman"/>
          <w:color w:val="000000" w:themeColor="text1"/>
          <w:sz w:val="20"/>
          <w:szCs w:val="20"/>
        </w:rPr>
        <w:t xml:space="preserve"> </w:t>
      </w:r>
      <w:r w:rsidR="00166F5F" w:rsidRPr="00F77BEA">
        <w:rPr>
          <w:rFonts w:ascii="Times New Roman" w:hAnsi="Times New Roman" w:cs="Times New Roman"/>
          <w:color w:val="000000" w:themeColor="text1"/>
          <w:sz w:val="20"/>
          <w:szCs w:val="20"/>
        </w:rPr>
        <w:t xml:space="preserve">функціонування </w:t>
      </w:r>
      <w:r w:rsidR="00EF4127" w:rsidRPr="00F77BEA">
        <w:rPr>
          <w:rFonts w:ascii="Times New Roman" w:hAnsi="Times New Roman" w:cs="Times New Roman"/>
          <w:color w:val="000000" w:themeColor="text1"/>
          <w:sz w:val="20"/>
          <w:szCs w:val="20"/>
        </w:rPr>
        <w:t>потужностей за допомогою акуму</w:t>
      </w:r>
      <w:r w:rsidR="00166F5F" w:rsidRPr="00F77BEA">
        <w:rPr>
          <w:rFonts w:ascii="Times New Roman" w:hAnsi="Times New Roman" w:cs="Times New Roman"/>
          <w:color w:val="000000" w:themeColor="text1"/>
          <w:sz w:val="20"/>
          <w:szCs w:val="20"/>
        </w:rPr>
        <w:t xml:space="preserve">лювання великих обсягів енергії, що у підсумку </w:t>
      </w:r>
      <w:r w:rsidR="00F77BEA">
        <w:rPr>
          <w:rFonts w:ascii="Times New Roman" w:hAnsi="Times New Roman" w:cs="Times New Roman"/>
          <w:color w:val="000000" w:themeColor="text1"/>
          <w:sz w:val="20"/>
          <w:szCs w:val="20"/>
        </w:rPr>
        <w:t>додає</w:t>
      </w:r>
      <w:r w:rsidR="00166F5F" w:rsidRPr="00F77BEA">
        <w:rPr>
          <w:rFonts w:ascii="Times New Roman" w:hAnsi="Times New Roman" w:cs="Times New Roman"/>
          <w:color w:val="000000" w:themeColor="text1"/>
          <w:sz w:val="20"/>
          <w:szCs w:val="20"/>
        </w:rPr>
        <w:t xml:space="preserve"> ще б</w:t>
      </w:r>
      <w:r w:rsidR="00F77BEA">
        <w:rPr>
          <w:rFonts w:ascii="Times New Roman" w:hAnsi="Times New Roman" w:cs="Times New Roman"/>
          <w:color w:val="000000" w:themeColor="text1"/>
          <w:sz w:val="20"/>
          <w:szCs w:val="20"/>
        </w:rPr>
        <w:t>ільшої</w:t>
      </w:r>
      <w:r w:rsidR="00166F5F" w:rsidRPr="00F77BEA">
        <w:rPr>
          <w:rFonts w:ascii="Times New Roman" w:hAnsi="Times New Roman" w:cs="Times New Roman"/>
          <w:color w:val="000000" w:themeColor="text1"/>
          <w:sz w:val="20"/>
          <w:szCs w:val="20"/>
        </w:rPr>
        <w:t xml:space="preserve"> привабливості інвестуванню у цю галузь світової економіки</w:t>
      </w:r>
      <w:r w:rsidR="00F015B0">
        <w:rPr>
          <w:rFonts w:ascii="Times New Roman" w:hAnsi="Times New Roman" w:cs="Times New Roman"/>
          <w:color w:val="000000" w:themeColor="text1"/>
          <w:sz w:val="20"/>
          <w:szCs w:val="20"/>
        </w:rPr>
        <w:t xml:space="preserve"> </w:t>
      </w:r>
      <w:r w:rsidR="00F015B0" w:rsidRPr="00F015B0">
        <w:rPr>
          <w:rFonts w:ascii="Times New Roman" w:hAnsi="Times New Roman" w:cs="Times New Roman"/>
          <w:color w:val="000000" w:themeColor="text1"/>
          <w:sz w:val="20"/>
          <w:szCs w:val="20"/>
        </w:rPr>
        <w:t>[5]</w:t>
      </w:r>
      <w:r w:rsidR="00166F5F" w:rsidRPr="00F77BEA">
        <w:rPr>
          <w:rFonts w:ascii="Times New Roman" w:hAnsi="Times New Roman" w:cs="Times New Roman"/>
          <w:color w:val="000000" w:themeColor="text1"/>
          <w:sz w:val="20"/>
          <w:szCs w:val="20"/>
        </w:rPr>
        <w:t>.</w:t>
      </w:r>
      <w:r w:rsidR="00F015B0" w:rsidRPr="00F015B0">
        <w:rPr>
          <w:rFonts w:ascii="Times New Roman" w:hAnsi="Times New Roman" w:cs="Times New Roman"/>
          <w:color w:val="000000" w:themeColor="text1"/>
          <w:sz w:val="20"/>
          <w:szCs w:val="20"/>
        </w:rPr>
        <w:t xml:space="preserve"> </w:t>
      </w:r>
      <w:r w:rsidR="00F015B0">
        <w:rPr>
          <w:rFonts w:ascii="Times New Roman" w:hAnsi="Times New Roman" w:cs="Times New Roman"/>
          <w:color w:val="000000" w:themeColor="text1"/>
          <w:sz w:val="20"/>
          <w:szCs w:val="20"/>
        </w:rPr>
        <w:t>П</w:t>
      </w:r>
      <w:r w:rsidRPr="00F77BEA">
        <w:rPr>
          <w:rFonts w:ascii="Times New Roman" w:hAnsi="Times New Roman" w:cs="Times New Roman"/>
          <w:color w:val="000000" w:themeColor="text1"/>
          <w:sz w:val="20"/>
          <w:szCs w:val="20"/>
        </w:rPr>
        <w:t xml:space="preserve">рогноз такого динамічного підвищення ролі ВДЕ у світовій енергетиці пояснюється її конкурентоспроможністю з наступних причин: </w:t>
      </w:r>
    </w:p>
    <w:p w:rsidR="00B87AAF" w:rsidRPr="00F77BEA" w:rsidRDefault="00166F5F" w:rsidP="00B87AAF">
      <w:pPr>
        <w:spacing w:line="240" w:lineRule="auto"/>
        <w:ind w:firstLine="0"/>
        <w:rPr>
          <w:rFonts w:ascii="Times New Roman" w:hAnsi="Times New Roman" w:cs="Times New Roman"/>
          <w:color w:val="000000" w:themeColor="text1"/>
          <w:sz w:val="20"/>
          <w:szCs w:val="20"/>
        </w:rPr>
      </w:pPr>
      <w:r w:rsidRPr="00F77BEA">
        <w:rPr>
          <w:rFonts w:ascii="Times New Roman" w:hAnsi="Times New Roman" w:cs="Times New Roman"/>
          <w:color w:val="000000" w:themeColor="text1"/>
          <w:sz w:val="20"/>
          <w:szCs w:val="20"/>
        </w:rPr>
        <w:t>1. Невичерпаність та  екологічність</w:t>
      </w:r>
      <w:r w:rsidR="00FE05F2">
        <w:rPr>
          <w:rFonts w:ascii="Times New Roman" w:hAnsi="Times New Roman" w:cs="Times New Roman"/>
          <w:color w:val="000000" w:themeColor="text1"/>
          <w:sz w:val="20"/>
          <w:szCs w:val="20"/>
        </w:rPr>
        <w:t xml:space="preserve"> </w:t>
      </w:r>
      <w:r w:rsidRPr="00F77BEA">
        <w:rPr>
          <w:rFonts w:ascii="Times New Roman" w:hAnsi="Times New Roman" w:cs="Times New Roman"/>
          <w:color w:val="000000" w:themeColor="text1"/>
          <w:sz w:val="20"/>
          <w:szCs w:val="20"/>
        </w:rPr>
        <w:t>(зокрема</w:t>
      </w:r>
      <w:r w:rsidR="00FE05F2">
        <w:rPr>
          <w:rFonts w:ascii="Times New Roman" w:hAnsi="Times New Roman" w:cs="Times New Roman"/>
          <w:color w:val="000000" w:themeColor="text1"/>
          <w:sz w:val="20"/>
          <w:szCs w:val="20"/>
        </w:rPr>
        <w:t>, ВДЕ</w:t>
      </w:r>
      <w:r w:rsidRPr="00F77BEA">
        <w:rPr>
          <w:rFonts w:ascii="Times New Roman" w:hAnsi="Times New Roman" w:cs="Times New Roman"/>
          <w:color w:val="000000" w:themeColor="text1"/>
          <w:sz w:val="20"/>
          <w:szCs w:val="20"/>
        </w:rPr>
        <w:t xml:space="preserve"> </w:t>
      </w:r>
      <w:r w:rsidR="00B87AAF" w:rsidRPr="00F77BEA">
        <w:rPr>
          <w:rFonts w:ascii="Times New Roman" w:hAnsi="Times New Roman" w:cs="Times New Roman"/>
          <w:color w:val="000000" w:themeColor="text1"/>
          <w:sz w:val="20"/>
          <w:szCs w:val="20"/>
        </w:rPr>
        <w:t>не</w:t>
      </w:r>
      <w:r w:rsidRPr="00F77BEA">
        <w:rPr>
          <w:rFonts w:ascii="Times New Roman" w:hAnsi="Times New Roman" w:cs="Times New Roman"/>
          <w:color w:val="000000" w:themeColor="text1"/>
          <w:sz w:val="20"/>
          <w:szCs w:val="20"/>
        </w:rPr>
        <w:t xml:space="preserve"> потребують утилізації відходів).</w:t>
      </w:r>
    </w:p>
    <w:p w:rsidR="00B87AAF" w:rsidRPr="00F77BEA" w:rsidRDefault="00166F5F" w:rsidP="00B87AAF">
      <w:pPr>
        <w:spacing w:line="240" w:lineRule="auto"/>
        <w:ind w:firstLine="0"/>
        <w:rPr>
          <w:rFonts w:ascii="Times New Roman" w:hAnsi="Times New Roman" w:cs="Times New Roman"/>
          <w:color w:val="000000" w:themeColor="text1"/>
          <w:sz w:val="20"/>
          <w:szCs w:val="20"/>
        </w:rPr>
      </w:pPr>
      <w:r w:rsidRPr="00F77BEA">
        <w:rPr>
          <w:rFonts w:ascii="Times New Roman" w:hAnsi="Times New Roman" w:cs="Times New Roman"/>
          <w:color w:val="000000" w:themeColor="text1"/>
          <w:sz w:val="20"/>
          <w:szCs w:val="20"/>
        </w:rPr>
        <w:t>2. </w:t>
      </w:r>
      <w:r w:rsidR="00B87AAF" w:rsidRPr="00F77BEA">
        <w:rPr>
          <w:rFonts w:ascii="Times New Roman" w:hAnsi="Times New Roman" w:cs="Times New Roman"/>
          <w:color w:val="000000" w:themeColor="text1"/>
          <w:sz w:val="20"/>
          <w:szCs w:val="20"/>
        </w:rPr>
        <w:t>Децентралі</w:t>
      </w:r>
      <w:r w:rsidRPr="00F77BEA">
        <w:rPr>
          <w:rFonts w:ascii="Times New Roman" w:hAnsi="Times New Roman" w:cs="Times New Roman"/>
          <w:color w:val="000000" w:themeColor="text1"/>
          <w:sz w:val="20"/>
          <w:szCs w:val="20"/>
        </w:rPr>
        <w:t>зація (м</w:t>
      </w:r>
      <w:r w:rsidR="00B87AAF" w:rsidRPr="00F77BEA">
        <w:rPr>
          <w:rFonts w:ascii="Times New Roman" w:hAnsi="Times New Roman" w:cs="Times New Roman"/>
          <w:color w:val="000000" w:themeColor="text1"/>
          <w:sz w:val="20"/>
          <w:szCs w:val="20"/>
        </w:rPr>
        <w:t>ожливість децентралізованого розміщення</w:t>
      </w:r>
      <w:r w:rsidRPr="00F77BEA">
        <w:rPr>
          <w:rFonts w:ascii="Times New Roman" w:hAnsi="Times New Roman" w:cs="Times New Roman"/>
          <w:color w:val="000000" w:themeColor="text1"/>
          <w:sz w:val="20"/>
          <w:szCs w:val="20"/>
        </w:rPr>
        <w:t xml:space="preserve"> та використання потужностей на базі ВДЕ). 3</w:t>
      </w:r>
      <w:r w:rsidR="00B87AAF" w:rsidRPr="00F77BEA">
        <w:rPr>
          <w:rFonts w:ascii="Times New Roman" w:hAnsi="Times New Roman" w:cs="Times New Roman"/>
          <w:color w:val="000000" w:themeColor="text1"/>
          <w:sz w:val="20"/>
          <w:szCs w:val="20"/>
        </w:rPr>
        <w:t>. </w:t>
      </w:r>
      <w:r w:rsidRPr="00F77BEA">
        <w:rPr>
          <w:rFonts w:ascii="Times New Roman" w:hAnsi="Times New Roman" w:cs="Times New Roman"/>
          <w:color w:val="000000" w:themeColor="text1"/>
          <w:sz w:val="20"/>
          <w:szCs w:val="20"/>
        </w:rPr>
        <w:t xml:space="preserve">Інвестиційна привабливість (короткий інвестиційний цикл, </w:t>
      </w:r>
      <w:r w:rsidR="00F77BEA" w:rsidRPr="00F77BEA">
        <w:rPr>
          <w:rFonts w:ascii="Times New Roman" w:hAnsi="Times New Roman" w:cs="Times New Roman"/>
          <w:color w:val="000000" w:themeColor="text1"/>
          <w:sz w:val="20"/>
          <w:szCs w:val="20"/>
        </w:rPr>
        <w:t xml:space="preserve">державна </w:t>
      </w:r>
      <w:r w:rsidRPr="00F77BEA">
        <w:rPr>
          <w:rFonts w:ascii="Times New Roman" w:hAnsi="Times New Roman" w:cs="Times New Roman"/>
          <w:color w:val="000000" w:themeColor="text1"/>
          <w:sz w:val="20"/>
          <w:szCs w:val="20"/>
        </w:rPr>
        <w:t xml:space="preserve">підтримка, відсутність </w:t>
      </w:r>
      <w:r w:rsidR="00F77BEA" w:rsidRPr="00F77BEA">
        <w:rPr>
          <w:rFonts w:ascii="Times New Roman" w:hAnsi="Times New Roman" w:cs="Times New Roman"/>
          <w:color w:val="000000" w:themeColor="text1"/>
          <w:sz w:val="20"/>
          <w:szCs w:val="20"/>
        </w:rPr>
        <w:t>штрафів забруднення атмосфери).</w:t>
      </w:r>
    </w:p>
    <w:p w:rsidR="00B87AAF" w:rsidRPr="00F015B0" w:rsidRDefault="00166F5F" w:rsidP="003B1384">
      <w:pPr>
        <w:spacing w:line="240" w:lineRule="auto"/>
        <w:ind w:firstLine="0"/>
        <w:rPr>
          <w:rFonts w:ascii="Times New Roman" w:hAnsi="Times New Roman" w:cs="Times New Roman"/>
          <w:color w:val="000000" w:themeColor="text1"/>
          <w:sz w:val="20"/>
          <w:szCs w:val="20"/>
        </w:rPr>
      </w:pPr>
      <w:r w:rsidRPr="00F77BEA">
        <w:rPr>
          <w:rFonts w:ascii="Times New Roman" w:hAnsi="Times New Roman" w:cs="Times New Roman"/>
          <w:color w:val="000000" w:themeColor="text1"/>
          <w:sz w:val="20"/>
          <w:szCs w:val="20"/>
        </w:rPr>
        <w:t>5.  Динамічне зниження</w:t>
      </w:r>
      <w:r w:rsidR="00B87AAF" w:rsidRPr="00F77BEA">
        <w:rPr>
          <w:rFonts w:ascii="Times New Roman" w:hAnsi="Times New Roman" w:cs="Times New Roman"/>
          <w:color w:val="000000" w:themeColor="text1"/>
          <w:sz w:val="20"/>
          <w:szCs w:val="20"/>
        </w:rPr>
        <w:t xml:space="preserve"> собівартості </w:t>
      </w:r>
      <w:r w:rsidRPr="00F77BEA">
        <w:rPr>
          <w:rFonts w:ascii="Times New Roman" w:hAnsi="Times New Roman" w:cs="Times New Roman"/>
          <w:color w:val="000000" w:themeColor="text1"/>
          <w:sz w:val="20"/>
          <w:szCs w:val="20"/>
        </w:rPr>
        <w:t>генерації сонячної та вітрової енергії</w:t>
      </w:r>
      <w:r w:rsidR="00F015B0">
        <w:rPr>
          <w:rFonts w:ascii="Times New Roman" w:hAnsi="Times New Roman" w:cs="Times New Roman"/>
          <w:color w:val="000000" w:themeColor="text1"/>
          <w:sz w:val="20"/>
          <w:szCs w:val="20"/>
        </w:rPr>
        <w:t xml:space="preserve"> [</w:t>
      </w:r>
      <w:r w:rsidR="00F015B0" w:rsidRPr="00F015B0">
        <w:rPr>
          <w:rFonts w:ascii="Times New Roman" w:hAnsi="Times New Roman" w:cs="Times New Roman"/>
          <w:color w:val="000000" w:themeColor="text1"/>
          <w:sz w:val="20"/>
          <w:szCs w:val="20"/>
        </w:rPr>
        <w:t>2</w:t>
      </w:r>
      <w:r w:rsidR="00F015B0">
        <w:rPr>
          <w:rFonts w:ascii="Times New Roman" w:hAnsi="Times New Roman" w:cs="Times New Roman"/>
          <w:color w:val="000000" w:themeColor="text1"/>
          <w:sz w:val="20"/>
          <w:szCs w:val="20"/>
        </w:rPr>
        <w:t>]</w:t>
      </w:r>
      <w:r w:rsidR="00F015B0" w:rsidRPr="00F015B0">
        <w:rPr>
          <w:rFonts w:ascii="Times New Roman" w:hAnsi="Times New Roman" w:cs="Times New Roman"/>
          <w:color w:val="000000" w:themeColor="text1"/>
          <w:sz w:val="20"/>
          <w:szCs w:val="20"/>
        </w:rPr>
        <w:t>.</w:t>
      </w:r>
    </w:p>
    <w:p w:rsidR="00C70A48" w:rsidRPr="00F67EE1" w:rsidRDefault="00C70A48" w:rsidP="00C70A48">
      <w:pPr>
        <w:spacing w:line="240" w:lineRule="auto"/>
        <w:rPr>
          <w:rFonts w:ascii="Times New Roman" w:hAnsi="Times New Roman" w:cs="Times New Roman"/>
          <w:sz w:val="20"/>
          <w:szCs w:val="20"/>
        </w:rPr>
      </w:pPr>
      <w:r w:rsidRPr="000F15D1">
        <w:rPr>
          <w:rFonts w:ascii="Times New Roman" w:hAnsi="Times New Roman" w:cs="Times New Roman"/>
          <w:sz w:val="20"/>
          <w:szCs w:val="20"/>
        </w:rPr>
        <w:t xml:space="preserve">З різних видів ВДЕ </w:t>
      </w:r>
      <w:r>
        <w:rPr>
          <w:rFonts w:ascii="Times New Roman" w:hAnsi="Times New Roman" w:cs="Times New Roman"/>
          <w:sz w:val="20"/>
          <w:szCs w:val="20"/>
        </w:rPr>
        <w:t>доступними</w:t>
      </w:r>
      <w:r w:rsidRPr="000F15D1">
        <w:rPr>
          <w:rFonts w:ascii="Times New Roman" w:hAnsi="Times New Roman" w:cs="Times New Roman"/>
          <w:sz w:val="20"/>
          <w:szCs w:val="20"/>
        </w:rPr>
        <w:t xml:space="preserve"> для України є вітрова та сонячна енергетика, енергія біомаси, геотермальна</w:t>
      </w:r>
      <w:r>
        <w:rPr>
          <w:rFonts w:ascii="Times New Roman" w:hAnsi="Times New Roman" w:cs="Times New Roman"/>
          <w:sz w:val="20"/>
          <w:szCs w:val="20"/>
        </w:rPr>
        <w:t xml:space="preserve"> та альтернативна гідроенергетика, тобто Україна має значний потенціал впровадження об’єктів, які можуть функціонувати на відновлювальних джерелах енергії</w:t>
      </w:r>
      <w:r w:rsidRPr="000F15D1">
        <w:rPr>
          <w:rFonts w:ascii="Times New Roman" w:hAnsi="Times New Roman" w:cs="Times New Roman"/>
          <w:sz w:val="20"/>
          <w:szCs w:val="20"/>
        </w:rPr>
        <w:t xml:space="preserve"> [</w:t>
      </w:r>
      <w:r w:rsidR="00F015B0">
        <w:rPr>
          <w:rFonts w:ascii="Times New Roman" w:hAnsi="Times New Roman" w:cs="Times New Roman"/>
          <w:sz w:val="20"/>
          <w:szCs w:val="20"/>
        </w:rPr>
        <w:t>2</w:t>
      </w:r>
      <w:r w:rsidRPr="000F15D1">
        <w:rPr>
          <w:rFonts w:ascii="Times New Roman" w:hAnsi="Times New Roman" w:cs="Times New Roman"/>
          <w:sz w:val="20"/>
          <w:szCs w:val="20"/>
        </w:rPr>
        <w:t xml:space="preserve">]. </w:t>
      </w:r>
      <w:r>
        <w:rPr>
          <w:rFonts w:ascii="Times New Roman" w:hAnsi="Times New Roman" w:cs="Times New Roman"/>
          <w:sz w:val="20"/>
          <w:szCs w:val="20"/>
        </w:rPr>
        <w:t xml:space="preserve">Попри це, досі половину всього </w:t>
      </w:r>
      <w:r w:rsidRPr="00C14A27">
        <w:rPr>
          <w:rFonts w:ascii="Times New Roman" w:hAnsi="Times New Roman" w:cs="Times New Roman"/>
          <w:sz w:val="20"/>
          <w:szCs w:val="20"/>
        </w:rPr>
        <w:t>виробництва елек</w:t>
      </w:r>
      <w:r>
        <w:rPr>
          <w:rFonts w:ascii="Times New Roman" w:hAnsi="Times New Roman" w:cs="Times New Roman"/>
          <w:sz w:val="20"/>
          <w:szCs w:val="20"/>
        </w:rPr>
        <w:t xml:space="preserve">троенергії в Україні припадає на теплоелектростанції (ТЕС), четверту частину електроенергії виробляють атомні електростанції (АЕС), значна частку у структурі виробництва також займають теплоелектроцентралі (ТЕЦ) та </w:t>
      </w:r>
      <w:proofErr w:type="spellStart"/>
      <w:r>
        <w:rPr>
          <w:rFonts w:ascii="Times New Roman" w:hAnsi="Times New Roman" w:cs="Times New Roman"/>
          <w:sz w:val="20"/>
          <w:szCs w:val="20"/>
        </w:rPr>
        <w:t>гідро-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гідроакумулюючі</w:t>
      </w:r>
      <w:proofErr w:type="spellEnd"/>
      <w:r>
        <w:rPr>
          <w:rFonts w:ascii="Times New Roman" w:hAnsi="Times New Roman" w:cs="Times New Roman"/>
          <w:sz w:val="20"/>
          <w:szCs w:val="20"/>
        </w:rPr>
        <w:t xml:space="preserve"> електростанції (ГЕС та ГАЕС)  На долю відновлювальної енергетики припадає лише 2% від усієї виробленої енергії України</w:t>
      </w:r>
      <w:r w:rsidR="00F015B0" w:rsidRPr="00F015B0">
        <w:rPr>
          <w:rFonts w:ascii="Times New Roman" w:hAnsi="Times New Roman" w:cs="Times New Roman"/>
          <w:sz w:val="20"/>
          <w:szCs w:val="20"/>
        </w:rPr>
        <w:t xml:space="preserve"> [</w:t>
      </w:r>
      <w:r w:rsidR="00F015B0">
        <w:rPr>
          <w:rFonts w:ascii="Times New Roman" w:hAnsi="Times New Roman" w:cs="Times New Roman"/>
          <w:sz w:val="20"/>
          <w:szCs w:val="20"/>
        </w:rPr>
        <w:t>6</w:t>
      </w:r>
      <w:r w:rsidR="00F015B0" w:rsidRPr="00F015B0">
        <w:rPr>
          <w:rFonts w:ascii="Times New Roman" w:hAnsi="Times New Roman" w:cs="Times New Roman"/>
          <w:sz w:val="20"/>
          <w:szCs w:val="20"/>
        </w:rPr>
        <w:t>]</w:t>
      </w:r>
      <w:r w:rsidR="00F67EE1">
        <w:rPr>
          <w:rFonts w:ascii="Times New Roman" w:hAnsi="Times New Roman" w:cs="Times New Roman"/>
          <w:sz w:val="20"/>
          <w:szCs w:val="20"/>
        </w:rPr>
        <w:t xml:space="preserve"> (див. рис.3):</w:t>
      </w:r>
    </w:p>
    <w:p w:rsidR="00C14A27" w:rsidRPr="00C14A27" w:rsidRDefault="00C14A27" w:rsidP="00FE05F2">
      <w:pPr>
        <w:spacing w:line="240" w:lineRule="auto"/>
        <w:ind w:firstLine="0"/>
        <w:jc w:val="center"/>
        <w:rPr>
          <w:rFonts w:ascii="Times New Roman" w:hAnsi="Times New Roman" w:cs="Times New Roman"/>
          <w:sz w:val="20"/>
          <w:szCs w:val="20"/>
          <w:lang w:val="ru-RU"/>
        </w:rPr>
      </w:pPr>
      <w:r w:rsidRPr="00C70A48">
        <w:rPr>
          <w:rFonts w:ascii="Times New Roman" w:hAnsi="Times New Roman" w:cs="Times New Roman"/>
          <w:noProof/>
          <w:sz w:val="20"/>
          <w:szCs w:val="20"/>
          <w:lang w:eastAsia="uk-UA"/>
        </w:rPr>
        <w:drawing>
          <wp:inline distT="0" distB="0" distL="0" distR="0" wp14:anchorId="33D5EBC8" wp14:editId="60A6F399">
            <wp:extent cx="4649638" cy="2046605"/>
            <wp:effectExtent l="0" t="0" r="17780" b="107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4A27" w:rsidRPr="00643B30" w:rsidRDefault="00C14A27" w:rsidP="00C70A48">
      <w:pPr>
        <w:tabs>
          <w:tab w:val="left" w:pos="4287"/>
        </w:tabs>
        <w:spacing w:line="240" w:lineRule="auto"/>
        <w:jc w:val="center"/>
        <w:rPr>
          <w:rFonts w:ascii="Times New Roman" w:hAnsi="Times New Roman" w:cs="Times New Roman"/>
          <w:b/>
          <w:sz w:val="20"/>
          <w:szCs w:val="20"/>
        </w:rPr>
      </w:pPr>
      <w:r>
        <w:rPr>
          <w:rFonts w:ascii="Times New Roman" w:hAnsi="Times New Roman" w:cs="Times New Roman"/>
          <w:b/>
          <w:sz w:val="20"/>
          <w:szCs w:val="20"/>
        </w:rPr>
        <w:t>Рис. 3</w:t>
      </w:r>
      <w:r w:rsidRPr="00643B30">
        <w:rPr>
          <w:rFonts w:ascii="Times New Roman" w:hAnsi="Times New Roman" w:cs="Times New Roman"/>
          <w:b/>
          <w:sz w:val="20"/>
          <w:szCs w:val="20"/>
        </w:rPr>
        <w:t xml:space="preserve">. </w:t>
      </w:r>
      <w:r>
        <w:rPr>
          <w:rFonts w:ascii="Times New Roman" w:hAnsi="Times New Roman" w:cs="Times New Roman"/>
          <w:b/>
          <w:sz w:val="20"/>
          <w:szCs w:val="20"/>
        </w:rPr>
        <w:t xml:space="preserve">Структура </w:t>
      </w:r>
      <w:r w:rsidRPr="00C14A27">
        <w:rPr>
          <w:rFonts w:ascii="Times New Roman" w:hAnsi="Times New Roman" w:cs="Times New Roman"/>
          <w:b/>
          <w:sz w:val="20"/>
          <w:szCs w:val="20"/>
        </w:rPr>
        <w:t>виробництва електроенергії в Україні</w:t>
      </w:r>
      <w:r>
        <w:rPr>
          <w:rFonts w:ascii="Times New Roman" w:hAnsi="Times New Roman" w:cs="Times New Roman"/>
          <w:b/>
          <w:sz w:val="20"/>
          <w:szCs w:val="20"/>
        </w:rPr>
        <w:t xml:space="preserve"> у 2017р</w:t>
      </w:r>
      <w:r w:rsidRPr="00C14A27">
        <w:rPr>
          <w:rFonts w:ascii="Times New Roman" w:hAnsi="Times New Roman" w:cs="Times New Roman"/>
          <w:b/>
          <w:sz w:val="20"/>
          <w:szCs w:val="20"/>
        </w:rPr>
        <w:t>.</w:t>
      </w:r>
      <w:r w:rsidRPr="00643B30">
        <w:rPr>
          <w:rFonts w:ascii="Times New Roman" w:hAnsi="Times New Roman" w:cs="Times New Roman"/>
          <w:b/>
          <w:sz w:val="20"/>
          <w:szCs w:val="20"/>
        </w:rPr>
        <w:t>, (%</w:t>
      </w:r>
      <w:r>
        <w:rPr>
          <w:rFonts w:ascii="Times New Roman" w:hAnsi="Times New Roman" w:cs="Times New Roman"/>
          <w:b/>
          <w:sz w:val="20"/>
          <w:szCs w:val="20"/>
        </w:rPr>
        <w:t xml:space="preserve"> </w:t>
      </w:r>
      <w:r w:rsidRPr="00643B30">
        <w:rPr>
          <w:rFonts w:ascii="Times New Roman" w:hAnsi="Times New Roman" w:cs="Times New Roman"/>
          <w:b/>
          <w:sz w:val="20"/>
          <w:szCs w:val="20"/>
        </w:rPr>
        <w:t>).</w:t>
      </w:r>
    </w:p>
    <w:p w:rsidR="00C14A27" w:rsidRDefault="00C14A27" w:rsidP="00C14A27">
      <w:pPr>
        <w:tabs>
          <w:tab w:val="left" w:pos="4287"/>
        </w:tabs>
        <w:spacing w:line="240" w:lineRule="auto"/>
        <w:ind w:firstLine="0"/>
        <w:rPr>
          <w:rFonts w:ascii="Times New Roman" w:hAnsi="Times New Roman" w:cs="Times New Roman"/>
          <w:i/>
          <w:sz w:val="20"/>
          <w:szCs w:val="20"/>
        </w:rPr>
      </w:pPr>
      <w:r w:rsidRPr="00643B30">
        <w:rPr>
          <w:rFonts w:ascii="Times New Roman" w:hAnsi="Times New Roman" w:cs="Times New Roman"/>
          <w:i/>
          <w:sz w:val="20"/>
          <w:szCs w:val="20"/>
        </w:rPr>
        <w:t xml:space="preserve">Примітка. Складено автором за даними </w:t>
      </w:r>
      <w:r>
        <w:rPr>
          <w:rFonts w:ascii="Times New Roman" w:hAnsi="Times New Roman" w:cs="Times New Roman"/>
          <w:i/>
          <w:sz w:val="20"/>
          <w:szCs w:val="20"/>
        </w:rPr>
        <w:t>Міністерства енергетики</w:t>
      </w:r>
      <w:r w:rsidR="00F015B0" w:rsidRPr="00F015B0">
        <w:rPr>
          <w:rFonts w:ascii="Times New Roman" w:hAnsi="Times New Roman" w:cs="Times New Roman"/>
          <w:i/>
          <w:sz w:val="20"/>
          <w:szCs w:val="20"/>
          <w:lang w:val="ru-RU"/>
        </w:rPr>
        <w:t xml:space="preserve"> </w:t>
      </w:r>
      <w:r w:rsidR="00F015B0">
        <w:rPr>
          <w:rFonts w:ascii="Times New Roman" w:hAnsi="Times New Roman" w:cs="Times New Roman"/>
          <w:i/>
          <w:sz w:val="20"/>
          <w:szCs w:val="20"/>
        </w:rPr>
        <w:t>та вугільної промисловості</w:t>
      </w:r>
      <w:r>
        <w:rPr>
          <w:rFonts w:ascii="Times New Roman" w:hAnsi="Times New Roman" w:cs="Times New Roman"/>
          <w:i/>
          <w:sz w:val="20"/>
          <w:szCs w:val="20"/>
        </w:rPr>
        <w:t xml:space="preserve"> України.</w:t>
      </w:r>
    </w:p>
    <w:p w:rsidR="00C70A48" w:rsidRPr="00C14A27" w:rsidRDefault="00C70A48" w:rsidP="00C14A27">
      <w:pPr>
        <w:tabs>
          <w:tab w:val="left" w:pos="4287"/>
        </w:tabs>
        <w:spacing w:line="240" w:lineRule="auto"/>
        <w:ind w:firstLine="0"/>
        <w:rPr>
          <w:rFonts w:ascii="Times New Roman" w:hAnsi="Times New Roman" w:cs="Times New Roman"/>
          <w:i/>
          <w:sz w:val="20"/>
          <w:szCs w:val="20"/>
        </w:rPr>
      </w:pPr>
    </w:p>
    <w:p w:rsidR="00C70A48" w:rsidRDefault="00BC7926" w:rsidP="00C70A48">
      <w:pPr>
        <w:spacing w:line="240" w:lineRule="auto"/>
        <w:rPr>
          <w:rFonts w:ascii="Times New Roman" w:hAnsi="Times New Roman" w:cs="Times New Roman"/>
          <w:sz w:val="20"/>
          <w:szCs w:val="20"/>
        </w:rPr>
      </w:pPr>
      <w:r>
        <w:rPr>
          <w:rFonts w:ascii="Times New Roman" w:hAnsi="Times New Roman" w:cs="Times New Roman"/>
          <w:sz w:val="20"/>
          <w:szCs w:val="20"/>
        </w:rPr>
        <w:t>Під час</w:t>
      </w:r>
      <w:r w:rsidR="00C70A48" w:rsidRPr="000F15D1">
        <w:rPr>
          <w:rFonts w:ascii="Times New Roman" w:hAnsi="Times New Roman" w:cs="Times New Roman"/>
          <w:sz w:val="20"/>
          <w:szCs w:val="20"/>
        </w:rPr>
        <w:t xml:space="preserve"> другого періоду Кіотського протоколу (2013–2020 рр.) Україна </w:t>
      </w:r>
      <w:r w:rsidR="00C70A48">
        <w:rPr>
          <w:rFonts w:ascii="Times New Roman" w:hAnsi="Times New Roman" w:cs="Times New Roman"/>
          <w:sz w:val="20"/>
          <w:szCs w:val="20"/>
        </w:rPr>
        <w:t>зобов’язалась</w:t>
      </w:r>
      <w:r w:rsidR="00C70A48" w:rsidRPr="000F15D1">
        <w:rPr>
          <w:rFonts w:ascii="Times New Roman" w:hAnsi="Times New Roman" w:cs="Times New Roman"/>
          <w:sz w:val="20"/>
          <w:szCs w:val="20"/>
        </w:rPr>
        <w:t xml:space="preserve"> </w:t>
      </w:r>
      <w:r w:rsidR="00C70A48">
        <w:rPr>
          <w:rFonts w:ascii="Times New Roman" w:hAnsi="Times New Roman" w:cs="Times New Roman"/>
          <w:sz w:val="20"/>
          <w:szCs w:val="20"/>
        </w:rPr>
        <w:t>зменшити</w:t>
      </w:r>
      <w:r w:rsidR="00C70A48" w:rsidRPr="000F15D1">
        <w:rPr>
          <w:rFonts w:ascii="Times New Roman" w:hAnsi="Times New Roman" w:cs="Times New Roman"/>
          <w:sz w:val="20"/>
          <w:szCs w:val="20"/>
        </w:rPr>
        <w:t xml:space="preserve"> викиди </w:t>
      </w:r>
      <w:r w:rsidR="00C70A48">
        <w:rPr>
          <w:rFonts w:ascii="Times New Roman" w:hAnsi="Times New Roman" w:cs="Times New Roman"/>
          <w:sz w:val="20"/>
          <w:szCs w:val="20"/>
        </w:rPr>
        <w:t>в атмосферу на 20</w:t>
      </w:r>
      <w:r w:rsidR="00F1263E">
        <w:rPr>
          <w:rFonts w:ascii="Times New Roman" w:hAnsi="Times New Roman" w:cs="Times New Roman"/>
          <w:sz w:val="20"/>
          <w:szCs w:val="20"/>
        </w:rPr>
        <w:t xml:space="preserve"> % (від рівня 1990 р.), а також</w:t>
      </w:r>
      <w:r w:rsidR="00C70A48" w:rsidRPr="000F15D1">
        <w:rPr>
          <w:rFonts w:ascii="Times New Roman" w:hAnsi="Times New Roman" w:cs="Times New Roman"/>
          <w:sz w:val="20"/>
          <w:szCs w:val="20"/>
        </w:rPr>
        <w:t xml:space="preserve"> </w:t>
      </w:r>
      <w:r w:rsidR="00C70A48">
        <w:rPr>
          <w:rFonts w:ascii="Times New Roman" w:hAnsi="Times New Roman" w:cs="Times New Roman"/>
          <w:sz w:val="20"/>
          <w:szCs w:val="20"/>
        </w:rPr>
        <w:t>визначила</w:t>
      </w:r>
      <w:r w:rsidR="00C70A48" w:rsidRPr="000F15D1">
        <w:rPr>
          <w:rFonts w:ascii="Times New Roman" w:hAnsi="Times New Roman" w:cs="Times New Roman"/>
          <w:sz w:val="20"/>
          <w:szCs w:val="20"/>
        </w:rPr>
        <w:t xml:space="preserve"> довгострокову ціль до 2050 р. – </w:t>
      </w:r>
      <w:r w:rsidR="00C70A48">
        <w:rPr>
          <w:rFonts w:ascii="Times New Roman" w:hAnsi="Times New Roman" w:cs="Times New Roman"/>
          <w:sz w:val="20"/>
          <w:szCs w:val="20"/>
        </w:rPr>
        <w:t>скоротити викиди</w:t>
      </w:r>
      <w:r w:rsidR="00C70A48" w:rsidRPr="000F15D1">
        <w:rPr>
          <w:rFonts w:ascii="Times New Roman" w:hAnsi="Times New Roman" w:cs="Times New Roman"/>
          <w:sz w:val="20"/>
          <w:szCs w:val="20"/>
        </w:rPr>
        <w:t xml:space="preserve"> на 50 % порівняно з 1990 р. Досягнення </w:t>
      </w:r>
      <w:r w:rsidR="00C70A48">
        <w:rPr>
          <w:rFonts w:ascii="Times New Roman" w:hAnsi="Times New Roman" w:cs="Times New Roman"/>
          <w:sz w:val="20"/>
          <w:szCs w:val="20"/>
        </w:rPr>
        <w:t>таких</w:t>
      </w:r>
      <w:r w:rsidR="00C70A48" w:rsidRPr="000F15D1">
        <w:rPr>
          <w:rFonts w:ascii="Times New Roman" w:hAnsi="Times New Roman" w:cs="Times New Roman"/>
          <w:sz w:val="20"/>
          <w:szCs w:val="20"/>
        </w:rPr>
        <w:t xml:space="preserve"> результатів </w:t>
      </w:r>
      <w:r w:rsidR="00C70A48">
        <w:rPr>
          <w:rFonts w:ascii="Times New Roman" w:hAnsi="Times New Roman" w:cs="Times New Roman"/>
          <w:sz w:val="20"/>
          <w:szCs w:val="20"/>
        </w:rPr>
        <w:t>означає</w:t>
      </w:r>
      <w:r w:rsidR="00C70A48" w:rsidRPr="000F15D1">
        <w:rPr>
          <w:rFonts w:ascii="Times New Roman" w:hAnsi="Times New Roman" w:cs="Times New Roman"/>
          <w:sz w:val="20"/>
          <w:szCs w:val="20"/>
        </w:rPr>
        <w:t xml:space="preserve"> реформування економіки</w:t>
      </w:r>
      <w:r w:rsidR="00C70A48">
        <w:rPr>
          <w:rFonts w:ascii="Times New Roman" w:hAnsi="Times New Roman" w:cs="Times New Roman"/>
          <w:sz w:val="20"/>
          <w:szCs w:val="20"/>
        </w:rPr>
        <w:t xml:space="preserve"> України</w:t>
      </w:r>
      <w:r w:rsidR="00C70A48" w:rsidRPr="000F15D1">
        <w:rPr>
          <w:rFonts w:ascii="Times New Roman" w:hAnsi="Times New Roman" w:cs="Times New Roman"/>
          <w:sz w:val="20"/>
          <w:szCs w:val="20"/>
        </w:rPr>
        <w:t xml:space="preserve">, </w:t>
      </w:r>
      <w:r w:rsidR="00C70A48">
        <w:rPr>
          <w:rFonts w:ascii="Times New Roman" w:hAnsi="Times New Roman" w:cs="Times New Roman"/>
          <w:sz w:val="20"/>
          <w:szCs w:val="20"/>
        </w:rPr>
        <w:t xml:space="preserve">головними </w:t>
      </w:r>
      <w:r w:rsidR="00C70A48" w:rsidRPr="000F15D1">
        <w:rPr>
          <w:rFonts w:ascii="Times New Roman" w:hAnsi="Times New Roman" w:cs="Times New Roman"/>
          <w:sz w:val="20"/>
          <w:szCs w:val="20"/>
        </w:rPr>
        <w:t xml:space="preserve"> </w:t>
      </w:r>
      <w:r w:rsidR="00C70A48">
        <w:rPr>
          <w:rFonts w:ascii="Times New Roman" w:hAnsi="Times New Roman" w:cs="Times New Roman"/>
          <w:sz w:val="20"/>
          <w:szCs w:val="20"/>
        </w:rPr>
        <w:t>пріоритетами</w:t>
      </w:r>
      <w:r w:rsidR="00C70A48" w:rsidRPr="000F15D1">
        <w:rPr>
          <w:rFonts w:ascii="Times New Roman" w:hAnsi="Times New Roman" w:cs="Times New Roman"/>
          <w:sz w:val="20"/>
          <w:szCs w:val="20"/>
        </w:rPr>
        <w:t xml:space="preserve"> якої мають стати</w:t>
      </w:r>
      <w:r w:rsidR="00C70A48">
        <w:rPr>
          <w:rFonts w:ascii="Times New Roman" w:hAnsi="Times New Roman" w:cs="Times New Roman"/>
          <w:sz w:val="20"/>
          <w:szCs w:val="20"/>
        </w:rPr>
        <w:t xml:space="preserve"> покращення енергоефективності та </w:t>
      </w:r>
      <w:r w:rsidR="00C70A48" w:rsidRPr="000F15D1">
        <w:rPr>
          <w:rFonts w:ascii="Times New Roman" w:hAnsi="Times New Roman" w:cs="Times New Roman"/>
          <w:sz w:val="20"/>
          <w:szCs w:val="20"/>
        </w:rPr>
        <w:t>збільшення частки відновлюваних і нетрадиційних джерел енергії</w:t>
      </w:r>
      <w:r w:rsidR="00F015B0">
        <w:rPr>
          <w:rFonts w:ascii="Times New Roman" w:hAnsi="Times New Roman" w:cs="Times New Roman"/>
          <w:sz w:val="20"/>
          <w:szCs w:val="20"/>
        </w:rPr>
        <w:t xml:space="preserve"> </w:t>
      </w:r>
      <w:r w:rsidR="00F015B0" w:rsidRPr="00F015B0">
        <w:rPr>
          <w:rFonts w:ascii="Times New Roman" w:hAnsi="Times New Roman" w:cs="Times New Roman"/>
          <w:sz w:val="20"/>
          <w:szCs w:val="20"/>
        </w:rPr>
        <w:t>[2]</w:t>
      </w:r>
      <w:r w:rsidR="00C70A48" w:rsidRPr="000F15D1">
        <w:rPr>
          <w:rFonts w:ascii="Times New Roman" w:hAnsi="Times New Roman" w:cs="Times New Roman"/>
          <w:sz w:val="20"/>
          <w:szCs w:val="20"/>
        </w:rPr>
        <w:t xml:space="preserve">. </w:t>
      </w:r>
    </w:p>
    <w:p w:rsidR="00C14A27" w:rsidRPr="003E5597" w:rsidRDefault="00C14A27" w:rsidP="003E5597">
      <w:pPr>
        <w:spacing w:line="240" w:lineRule="auto"/>
        <w:rPr>
          <w:rFonts w:ascii="Times New Roman" w:hAnsi="Times New Roman" w:cs="Times New Roman"/>
          <w:sz w:val="20"/>
          <w:szCs w:val="20"/>
          <w:lang w:val="ru-RU"/>
        </w:rPr>
      </w:pPr>
      <w:r>
        <w:rPr>
          <w:rFonts w:ascii="Times New Roman" w:hAnsi="Times New Roman" w:cs="Times New Roman"/>
          <w:sz w:val="20"/>
          <w:szCs w:val="20"/>
        </w:rPr>
        <w:t>Слід також відзначити, що в</w:t>
      </w:r>
      <w:r w:rsidRPr="00C14A27">
        <w:rPr>
          <w:rFonts w:ascii="Times New Roman" w:hAnsi="Times New Roman" w:cs="Times New Roman"/>
          <w:sz w:val="20"/>
          <w:szCs w:val="20"/>
        </w:rPr>
        <w:t>ідновлюван</w:t>
      </w:r>
      <w:r w:rsidR="003E5597">
        <w:rPr>
          <w:rFonts w:ascii="Times New Roman" w:hAnsi="Times New Roman" w:cs="Times New Roman"/>
          <w:sz w:val="20"/>
          <w:szCs w:val="20"/>
        </w:rPr>
        <w:t>а енергетика до 2009</w:t>
      </w:r>
      <w:r w:rsidRPr="00C14A27">
        <w:rPr>
          <w:rFonts w:ascii="Times New Roman" w:hAnsi="Times New Roman" w:cs="Times New Roman"/>
          <w:sz w:val="20"/>
          <w:szCs w:val="20"/>
        </w:rPr>
        <w:t xml:space="preserve">р. в Україні була майже відсутня, </w:t>
      </w:r>
      <w:r w:rsidR="003E5597">
        <w:rPr>
          <w:rFonts w:ascii="Times New Roman" w:hAnsi="Times New Roman" w:cs="Times New Roman"/>
          <w:sz w:val="20"/>
          <w:szCs w:val="20"/>
        </w:rPr>
        <w:t>що зумовлено законодавчим впровадженням</w:t>
      </w:r>
      <w:r w:rsidRPr="00C14A27">
        <w:rPr>
          <w:rFonts w:ascii="Times New Roman" w:hAnsi="Times New Roman" w:cs="Times New Roman"/>
          <w:sz w:val="20"/>
          <w:szCs w:val="20"/>
        </w:rPr>
        <w:t xml:space="preserve"> стимулюючого “зеленого</w:t>
      </w:r>
      <w:r w:rsidR="00BC7926" w:rsidRPr="00BC7926">
        <w:rPr>
          <w:rFonts w:ascii="Times New Roman" w:hAnsi="Times New Roman" w:cs="Times New Roman"/>
          <w:sz w:val="20"/>
          <w:szCs w:val="20"/>
          <w:lang w:val="ru-RU"/>
        </w:rPr>
        <w:t>”</w:t>
      </w:r>
      <w:r w:rsidRPr="00C14A27">
        <w:rPr>
          <w:rFonts w:ascii="Times New Roman" w:hAnsi="Times New Roman" w:cs="Times New Roman"/>
          <w:sz w:val="20"/>
          <w:szCs w:val="20"/>
        </w:rPr>
        <w:t xml:space="preserve"> тарифу</w:t>
      </w:r>
      <w:r w:rsidR="003E5597">
        <w:rPr>
          <w:rFonts w:ascii="Times New Roman" w:hAnsi="Times New Roman" w:cs="Times New Roman"/>
          <w:sz w:val="20"/>
          <w:szCs w:val="20"/>
        </w:rPr>
        <w:t xml:space="preserve">, однак </w:t>
      </w:r>
      <w:r w:rsidR="00C70A48">
        <w:rPr>
          <w:rFonts w:ascii="Times New Roman" w:hAnsi="Times New Roman" w:cs="Times New Roman"/>
          <w:sz w:val="20"/>
          <w:szCs w:val="20"/>
        </w:rPr>
        <w:t xml:space="preserve">вже з 2010-2011 рр. </w:t>
      </w:r>
      <w:r w:rsidR="003E5597">
        <w:rPr>
          <w:rFonts w:ascii="Times New Roman" w:hAnsi="Times New Roman" w:cs="Times New Roman"/>
          <w:sz w:val="20"/>
          <w:szCs w:val="20"/>
        </w:rPr>
        <w:t xml:space="preserve"> спостерігається</w:t>
      </w:r>
      <w:r w:rsidRPr="00C14A27">
        <w:rPr>
          <w:rFonts w:ascii="Times New Roman" w:hAnsi="Times New Roman" w:cs="Times New Roman"/>
          <w:sz w:val="20"/>
          <w:szCs w:val="20"/>
        </w:rPr>
        <w:t xml:space="preserve"> </w:t>
      </w:r>
      <w:r w:rsidR="003E5597">
        <w:rPr>
          <w:rFonts w:ascii="Times New Roman" w:hAnsi="Times New Roman" w:cs="Times New Roman"/>
          <w:sz w:val="20"/>
          <w:szCs w:val="20"/>
        </w:rPr>
        <w:t>прискорений розвиток</w:t>
      </w:r>
      <w:r w:rsidRPr="00C14A27">
        <w:rPr>
          <w:rFonts w:ascii="Times New Roman" w:hAnsi="Times New Roman" w:cs="Times New Roman"/>
          <w:sz w:val="20"/>
          <w:szCs w:val="20"/>
        </w:rPr>
        <w:t xml:space="preserve"> </w:t>
      </w:r>
      <w:r w:rsidR="003E5597">
        <w:rPr>
          <w:rFonts w:ascii="Times New Roman" w:hAnsi="Times New Roman" w:cs="Times New Roman"/>
          <w:sz w:val="20"/>
          <w:szCs w:val="20"/>
        </w:rPr>
        <w:t xml:space="preserve">альтернативної енергетики </w:t>
      </w:r>
      <w:r w:rsidRPr="00C14A27">
        <w:rPr>
          <w:rFonts w:ascii="Times New Roman" w:hAnsi="Times New Roman" w:cs="Times New Roman"/>
          <w:sz w:val="20"/>
          <w:szCs w:val="20"/>
        </w:rPr>
        <w:t>із середньорічним</w:t>
      </w:r>
      <w:r w:rsidR="003E5597">
        <w:rPr>
          <w:rFonts w:ascii="Times New Roman" w:hAnsi="Times New Roman" w:cs="Times New Roman"/>
          <w:sz w:val="20"/>
          <w:szCs w:val="20"/>
        </w:rPr>
        <w:t>и темпами</w:t>
      </w:r>
      <w:r w:rsidRPr="00C14A27">
        <w:rPr>
          <w:rFonts w:ascii="Times New Roman" w:hAnsi="Times New Roman" w:cs="Times New Roman"/>
          <w:sz w:val="20"/>
          <w:szCs w:val="20"/>
        </w:rPr>
        <w:t xml:space="preserve"> зростання</w:t>
      </w:r>
      <w:r w:rsidR="003E5597">
        <w:rPr>
          <w:rFonts w:ascii="Times New Roman" w:hAnsi="Times New Roman" w:cs="Times New Roman"/>
          <w:sz w:val="20"/>
          <w:szCs w:val="20"/>
        </w:rPr>
        <w:t xml:space="preserve"> на рівні</w:t>
      </w:r>
      <w:r w:rsidRPr="00C14A27">
        <w:rPr>
          <w:rFonts w:ascii="Times New Roman" w:hAnsi="Times New Roman" w:cs="Times New Roman"/>
          <w:sz w:val="20"/>
          <w:szCs w:val="20"/>
        </w:rPr>
        <w:t xml:space="preserve"> 31%</w:t>
      </w:r>
      <w:r w:rsidR="0041725D" w:rsidRPr="0041725D">
        <w:rPr>
          <w:rFonts w:ascii="Times New Roman" w:hAnsi="Times New Roman" w:cs="Times New Roman"/>
          <w:sz w:val="20"/>
          <w:szCs w:val="20"/>
          <w:lang w:val="ru-RU"/>
        </w:rPr>
        <w:t xml:space="preserve"> [4]</w:t>
      </w:r>
      <w:r w:rsidRPr="00C14A27">
        <w:rPr>
          <w:rFonts w:ascii="Times New Roman" w:hAnsi="Times New Roman" w:cs="Times New Roman"/>
          <w:sz w:val="20"/>
          <w:szCs w:val="20"/>
        </w:rPr>
        <w:t xml:space="preserve">. </w:t>
      </w:r>
      <w:r w:rsidR="003E5597">
        <w:rPr>
          <w:rFonts w:ascii="Times New Roman" w:hAnsi="Times New Roman" w:cs="Times New Roman"/>
          <w:sz w:val="20"/>
          <w:szCs w:val="20"/>
        </w:rPr>
        <w:t xml:space="preserve">Так, за </w:t>
      </w:r>
      <w:r w:rsidRPr="00C14A27">
        <w:rPr>
          <w:rFonts w:ascii="Times New Roman" w:hAnsi="Times New Roman" w:cs="Times New Roman"/>
          <w:sz w:val="20"/>
          <w:szCs w:val="20"/>
        </w:rPr>
        <w:t xml:space="preserve"> період 2009-2013рр. встановлена потужність об’єктів ВДЕ </w:t>
      </w:r>
      <w:r w:rsidR="003E5597">
        <w:rPr>
          <w:rFonts w:ascii="Times New Roman" w:hAnsi="Times New Roman" w:cs="Times New Roman"/>
          <w:sz w:val="20"/>
          <w:szCs w:val="20"/>
        </w:rPr>
        <w:t>збільшилась</w:t>
      </w:r>
      <w:r w:rsidRPr="00C14A27">
        <w:rPr>
          <w:rFonts w:ascii="Times New Roman" w:hAnsi="Times New Roman" w:cs="Times New Roman"/>
          <w:sz w:val="20"/>
          <w:szCs w:val="20"/>
        </w:rPr>
        <w:t xml:space="preserve"> із 0,13 ГВт до 1,</w:t>
      </w:r>
      <w:r>
        <w:rPr>
          <w:rFonts w:ascii="Times New Roman" w:hAnsi="Times New Roman" w:cs="Times New Roman"/>
          <w:sz w:val="20"/>
          <w:szCs w:val="20"/>
        </w:rPr>
        <w:t xml:space="preserve">19 ГВт або більше </w:t>
      </w:r>
      <w:r w:rsidR="003E5597">
        <w:rPr>
          <w:rFonts w:ascii="Times New Roman" w:hAnsi="Times New Roman" w:cs="Times New Roman"/>
          <w:sz w:val="20"/>
          <w:szCs w:val="20"/>
        </w:rPr>
        <w:t>ніж</w:t>
      </w:r>
      <w:r w:rsidR="00C70A48">
        <w:rPr>
          <w:rFonts w:ascii="Times New Roman" w:hAnsi="Times New Roman" w:cs="Times New Roman"/>
          <w:sz w:val="20"/>
          <w:szCs w:val="20"/>
        </w:rPr>
        <w:t>,</w:t>
      </w:r>
      <w:r w:rsidR="003E5597">
        <w:rPr>
          <w:rFonts w:ascii="Times New Roman" w:hAnsi="Times New Roman" w:cs="Times New Roman"/>
          <w:sz w:val="20"/>
          <w:szCs w:val="20"/>
        </w:rPr>
        <w:t xml:space="preserve"> як в </w:t>
      </w:r>
      <w:r>
        <w:rPr>
          <w:rFonts w:ascii="Times New Roman" w:hAnsi="Times New Roman" w:cs="Times New Roman"/>
          <w:sz w:val="20"/>
          <w:szCs w:val="20"/>
        </w:rPr>
        <w:t>9 разів</w:t>
      </w:r>
      <w:r w:rsidR="003E5597">
        <w:rPr>
          <w:rFonts w:ascii="Times New Roman" w:hAnsi="Times New Roman" w:cs="Times New Roman"/>
          <w:sz w:val="20"/>
          <w:szCs w:val="20"/>
        </w:rPr>
        <w:t xml:space="preserve">. За цей час найбільше було встановлено </w:t>
      </w:r>
      <w:r w:rsidR="003E5597" w:rsidRPr="00C14A27">
        <w:rPr>
          <w:rFonts w:ascii="Times New Roman" w:hAnsi="Times New Roman" w:cs="Times New Roman"/>
          <w:sz w:val="20"/>
          <w:szCs w:val="20"/>
        </w:rPr>
        <w:t xml:space="preserve">об’єктів вітрової та сонячної енергетики </w:t>
      </w:r>
      <w:r w:rsidR="003E5597">
        <w:rPr>
          <w:rFonts w:ascii="Times New Roman" w:hAnsi="Times New Roman" w:cs="Times New Roman"/>
          <w:sz w:val="20"/>
          <w:szCs w:val="20"/>
        </w:rPr>
        <w:t xml:space="preserve">- </w:t>
      </w:r>
      <w:r w:rsidR="003E5597" w:rsidRPr="00C14A27">
        <w:rPr>
          <w:rFonts w:ascii="Times New Roman" w:hAnsi="Times New Roman" w:cs="Times New Roman"/>
          <w:sz w:val="20"/>
          <w:szCs w:val="20"/>
        </w:rPr>
        <w:t>8</w:t>
      </w:r>
      <w:r w:rsidR="003E5597">
        <w:rPr>
          <w:rFonts w:ascii="Times New Roman" w:hAnsi="Times New Roman" w:cs="Times New Roman"/>
          <w:sz w:val="20"/>
          <w:szCs w:val="20"/>
        </w:rPr>
        <w:t xml:space="preserve">6% від загальної потужності ВДЕ в Україні </w:t>
      </w:r>
      <w:r w:rsidR="003E5597" w:rsidRPr="003E5597">
        <w:rPr>
          <w:rFonts w:ascii="Times New Roman" w:hAnsi="Times New Roman" w:cs="Times New Roman"/>
          <w:sz w:val="20"/>
          <w:szCs w:val="20"/>
          <w:lang w:val="ru-RU"/>
        </w:rPr>
        <w:t>[</w:t>
      </w:r>
      <w:r w:rsidR="00D45AC5">
        <w:rPr>
          <w:rFonts w:ascii="Times New Roman" w:hAnsi="Times New Roman" w:cs="Times New Roman"/>
          <w:sz w:val="20"/>
          <w:szCs w:val="20"/>
          <w:lang w:val="ru-RU"/>
        </w:rPr>
        <w:t>5</w:t>
      </w:r>
      <w:r w:rsidR="003E5597" w:rsidRPr="003E5597">
        <w:rPr>
          <w:rFonts w:ascii="Times New Roman" w:hAnsi="Times New Roman" w:cs="Times New Roman"/>
          <w:sz w:val="20"/>
          <w:szCs w:val="20"/>
          <w:lang w:val="ru-RU"/>
        </w:rPr>
        <w:t xml:space="preserve">], </w:t>
      </w:r>
      <w:r w:rsidR="00D45AC5">
        <w:rPr>
          <w:rFonts w:ascii="Times New Roman" w:hAnsi="Times New Roman" w:cs="Times New Roman"/>
          <w:sz w:val="20"/>
          <w:szCs w:val="20"/>
        </w:rPr>
        <w:t>(див</w:t>
      </w:r>
      <w:r w:rsidR="00F67EE1">
        <w:rPr>
          <w:rFonts w:ascii="Times New Roman" w:hAnsi="Times New Roman" w:cs="Times New Roman"/>
          <w:sz w:val="20"/>
          <w:szCs w:val="20"/>
        </w:rPr>
        <w:t>. рис.4</w:t>
      </w:r>
      <w:r w:rsidR="00D45AC5">
        <w:rPr>
          <w:rFonts w:ascii="Times New Roman" w:hAnsi="Times New Roman" w:cs="Times New Roman"/>
          <w:sz w:val="20"/>
          <w:szCs w:val="20"/>
        </w:rPr>
        <w:t>):</w:t>
      </w:r>
    </w:p>
    <w:p w:rsidR="00C14A27" w:rsidRPr="00D45AC5" w:rsidRDefault="00C14A27" w:rsidP="00C14A27">
      <w:pPr>
        <w:spacing w:line="240" w:lineRule="auto"/>
        <w:rPr>
          <w:rFonts w:ascii="Times New Roman" w:hAnsi="Times New Roman" w:cs="Times New Roman"/>
          <w:sz w:val="20"/>
          <w:szCs w:val="20"/>
          <w:lang w:val="ru-RU"/>
        </w:rPr>
      </w:pPr>
    </w:p>
    <w:p w:rsidR="00C14A27" w:rsidRDefault="00C14A27" w:rsidP="00C14A27">
      <w:pPr>
        <w:spacing w:line="240" w:lineRule="auto"/>
        <w:ind w:firstLine="0"/>
        <w:rPr>
          <w:rFonts w:ascii="Times New Roman" w:hAnsi="Times New Roman" w:cs="Times New Roman"/>
          <w:sz w:val="20"/>
          <w:szCs w:val="20"/>
          <w:lang w:val="en-US"/>
        </w:rPr>
      </w:pPr>
      <w:r>
        <w:rPr>
          <w:noProof/>
          <w:lang w:eastAsia="uk-UA"/>
        </w:rPr>
        <w:drawing>
          <wp:inline distT="0" distB="0" distL="0" distR="0" wp14:anchorId="63A8E662" wp14:editId="5C11ACC0">
            <wp:extent cx="6122504" cy="1963972"/>
            <wp:effectExtent l="0" t="0" r="12065" b="1778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4A27" w:rsidRPr="00643B30" w:rsidRDefault="00C14A27" w:rsidP="003E5597">
      <w:pPr>
        <w:tabs>
          <w:tab w:val="left" w:pos="4287"/>
        </w:tabs>
        <w:spacing w:line="240" w:lineRule="auto"/>
        <w:ind w:firstLine="0"/>
        <w:rPr>
          <w:rFonts w:ascii="Times New Roman" w:hAnsi="Times New Roman" w:cs="Times New Roman"/>
          <w:b/>
          <w:sz w:val="20"/>
          <w:szCs w:val="20"/>
        </w:rPr>
      </w:pPr>
      <w:r>
        <w:rPr>
          <w:rFonts w:ascii="Times New Roman" w:hAnsi="Times New Roman" w:cs="Times New Roman"/>
          <w:b/>
          <w:sz w:val="20"/>
          <w:szCs w:val="20"/>
        </w:rPr>
        <w:t>Рис. 4</w:t>
      </w:r>
      <w:r w:rsidRPr="00643B30">
        <w:rPr>
          <w:rFonts w:ascii="Times New Roman" w:hAnsi="Times New Roman" w:cs="Times New Roman"/>
          <w:b/>
          <w:sz w:val="20"/>
          <w:szCs w:val="20"/>
        </w:rPr>
        <w:t xml:space="preserve">. </w:t>
      </w:r>
      <w:r>
        <w:rPr>
          <w:rFonts w:ascii="Times New Roman" w:hAnsi="Times New Roman" w:cs="Times New Roman"/>
          <w:b/>
          <w:sz w:val="20"/>
          <w:szCs w:val="20"/>
        </w:rPr>
        <w:t xml:space="preserve">Динаміка кількості </w:t>
      </w:r>
      <w:r w:rsidRPr="00C14A27">
        <w:rPr>
          <w:rFonts w:ascii="Times New Roman" w:hAnsi="Times New Roman" w:cs="Times New Roman"/>
          <w:b/>
          <w:sz w:val="20"/>
          <w:szCs w:val="20"/>
        </w:rPr>
        <w:t xml:space="preserve">об'єктів в </w:t>
      </w:r>
      <w:proofErr w:type="spellStart"/>
      <w:r w:rsidRPr="00C14A27">
        <w:rPr>
          <w:rFonts w:ascii="Times New Roman" w:hAnsi="Times New Roman" w:cs="Times New Roman"/>
          <w:b/>
          <w:sz w:val="20"/>
          <w:szCs w:val="20"/>
        </w:rPr>
        <w:t>Украіні</w:t>
      </w:r>
      <w:proofErr w:type="spellEnd"/>
      <w:r w:rsidRPr="00C14A27">
        <w:rPr>
          <w:rFonts w:ascii="Times New Roman" w:hAnsi="Times New Roman" w:cs="Times New Roman"/>
          <w:b/>
          <w:sz w:val="20"/>
          <w:szCs w:val="20"/>
        </w:rPr>
        <w:t>, що виробляють електроенергію з ВДЕ</w:t>
      </w:r>
      <w:r>
        <w:rPr>
          <w:rFonts w:ascii="Times New Roman" w:hAnsi="Times New Roman" w:cs="Times New Roman"/>
          <w:b/>
          <w:sz w:val="20"/>
          <w:szCs w:val="20"/>
        </w:rPr>
        <w:t xml:space="preserve"> за період 2011-2016 рр., (од.)</w:t>
      </w:r>
    </w:p>
    <w:p w:rsidR="00C14A27" w:rsidRPr="00D45AC5" w:rsidRDefault="00C14A27" w:rsidP="00C14A27">
      <w:pPr>
        <w:tabs>
          <w:tab w:val="left" w:pos="4287"/>
        </w:tabs>
        <w:spacing w:line="240" w:lineRule="auto"/>
        <w:ind w:firstLine="0"/>
        <w:rPr>
          <w:rFonts w:ascii="Times New Roman" w:hAnsi="Times New Roman" w:cs="Times New Roman"/>
          <w:i/>
          <w:sz w:val="20"/>
          <w:szCs w:val="20"/>
          <w:lang w:val="ru-RU"/>
        </w:rPr>
      </w:pPr>
      <w:r w:rsidRPr="00643B30">
        <w:rPr>
          <w:rFonts w:ascii="Times New Roman" w:hAnsi="Times New Roman" w:cs="Times New Roman"/>
          <w:i/>
          <w:sz w:val="20"/>
          <w:szCs w:val="20"/>
        </w:rPr>
        <w:t>Прим</w:t>
      </w:r>
      <w:r>
        <w:rPr>
          <w:rFonts w:ascii="Times New Roman" w:hAnsi="Times New Roman" w:cs="Times New Roman"/>
          <w:i/>
          <w:sz w:val="20"/>
          <w:szCs w:val="20"/>
        </w:rPr>
        <w:t>ітка. С</w:t>
      </w:r>
      <w:r w:rsidR="00D45AC5">
        <w:rPr>
          <w:rFonts w:ascii="Times New Roman" w:hAnsi="Times New Roman" w:cs="Times New Roman"/>
          <w:i/>
          <w:sz w:val="20"/>
          <w:szCs w:val="20"/>
        </w:rPr>
        <w:t>кладено автором на основі даних Центру Разумкова</w:t>
      </w:r>
      <w:r w:rsidR="00D45AC5">
        <w:rPr>
          <w:rFonts w:ascii="Times New Roman" w:hAnsi="Times New Roman" w:cs="Times New Roman"/>
          <w:i/>
          <w:sz w:val="20"/>
          <w:szCs w:val="20"/>
          <w:lang w:val="ru-RU"/>
        </w:rPr>
        <w:t xml:space="preserve"> [</w:t>
      </w:r>
      <w:r w:rsidR="00D45AC5" w:rsidRPr="00D45AC5">
        <w:rPr>
          <w:rFonts w:ascii="Times New Roman" w:hAnsi="Times New Roman" w:cs="Times New Roman"/>
          <w:i/>
          <w:sz w:val="20"/>
          <w:szCs w:val="20"/>
          <w:lang w:val="ru-RU"/>
        </w:rPr>
        <w:t>5</w:t>
      </w:r>
      <w:r w:rsidR="00D45AC5">
        <w:rPr>
          <w:rFonts w:ascii="Times New Roman" w:hAnsi="Times New Roman" w:cs="Times New Roman"/>
          <w:i/>
          <w:sz w:val="20"/>
          <w:szCs w:val="20"/>
          <w:lang w:val="ru-RU"/>
        </w:rPr>
        <w:t>]</w:t>
      </w:r>
      <w:r w:rsidR="00D45AC5" w:rsidRPr="00D45AC5">
        <w:rPr>
          <w:rFonts w:ascii="Times New Roman" w:hAnsi="Times New Roman" w:cs="Times New Roman"/>
          <w:i/>
          <w:sz w:val="20"/>
          <w:szCs w:val="20"/>
          <w:lang w:val="ru-RU"/>
        </w:rPr>
        <w:t>.</w:t>
      </w:r>
    </w:p>
    <w:p w:rsidR="00C14A27" w:rsidRPr="00C14A27" w:rsidRDefault="00C14A27" w:rsidP="00C14A27">
      <w:pPr>
        <w:spacing w:line="240" w:lineRule="auto"/>
        <w:ind w:firstLine="0"/>
        <w:rPr>
          <w:rFonts w:ascii="Times New Roman" w:hAnsi="Times New Roman" w:cs="Times New Roman"/>
          <w:sz w:val="20"/>
          <w:szCs w:val="20"/>
        </w:rPr>
      </w:pPr>
    </w:p>
    <w:p w:rsidR="00C14A27" w:rsidRDefault="00F67EE1" w:rsidP="00D72EF3">
      <w:pPr>
        <w:spacing w:line="240" w:lineRule="auto"/>
        <w:rPr>
          <w:rFonts w:ascii="Times New Roman" w:hAnsi="Times New Roman" w:cs="Times New Roman"/>
          <w:sz w:val="20"/>
          <w:szCs w:val="20"/>
        </w:rPr>
      </w:pPr>
      <w:r w:rsidRPr="00F67EE1">
        <w:rPr>
          <w:rFonts w:ascii="Times New Roman" w:hAnsi="Times New Roman" w:cs="Times New Roman"/>
          <w:sz w:val="20"/>
          <w:szCs w:val="20"/>
        </w:rPr>
        <w:t>Однак варто взяти до уваги</w:t>
      </w:r>
      <w:r w:rsidR="003E5597">
        <w:rPr>
          <w:rFonts w:ascii="Times New Roman" w:hAnsi="Times New Roman" w:cs="Times New Roman"/>
          <w:sz w:val="20"/>
          <w:szCs w:val="20"/>
        </w:rPr>
        <w:t xml:space="preserve">, що тарифна політика </w:t>
      </w:r>
      <w:r w:rsidR="00320EFD">
        <w:rPr>
          <w:rFonts w:ascii="Times New Roman" w:hAnsi="Times New Roman" w:cs="Times New Roman"/>
          <w:sz w:val="20"/>
          <w:szCs w:val="20"/>
        </w:rPr>
        <w:t xml:space="preserve">в Україні у розрізі відновлювальної енергетики </w:t>
      </w:r>
      <w:r w:rsidR="00C14A27" w:rsidRPr="00C14A27">
        <w:rPr>
          <w:rFonts w:ascii="Times New Roman" w:hAnsi="Times New Roman" w:cs="Times New Roman"/>
          <w:sz w:val="20"/>
          <w:szCs w:val="20"/>
        </w:rPr>
        <w:t xml:space="preserve">на сьогодні </w:t>
      </w:r>
      <w:r w:rsidR="00320EFD">
        <w:rPr>
          <w:rFonts w:ascii="Times New Roman" w:hAnsi="Times New Roman" w:cs="Times New Roman"/>
          <w:sz w:val="20"/>
          <w:szCs w:val="20"/>
        </w:rPr>
        <w:t>не відображає світові тенденції</w:t>
      </w:r>
      <w:r w:rsidR="00C14A27" w:rsidRPr="00C14A27">
        <w:rPr>
          <w:rFonts w:ascii="Times New Roman" w:hAnsi="Times New Roman" w:cs="Times New Roman"/>
          <w:sz w:val="20"/>
          <w:szCs w:val="20"/>
        </w:rPr>
        <w:t xml:space="preserve"> </w:t>
      </w:r>
      <w:r w:rsidR="00320EFD">
        <w:rPr>
          <w:rFonts w:ascii="Times New Roman" w:hAnsi="Times New Roman" w:cs="Times New Roman"/>
          <w:sz w:val="20"/>
          <w:szCs w:val="20"/>
        </w:rPr>
        <w:t>зниження</w:t>
      </w:r>
      <w:r w:rsidR="00C14A27" w:rsidRPr="00C14A27">
        <w:rPr>
          <w:rFonts w:ascii="Times New Roman" w:hAnsi="Times New Roman" w:cs="Times New Roman"/>
          <w:sz w:val="20"/>
          <w:szCs w:val="20"/>
        </w:rPr>
        <w:t xml:space="preserve"> цін </w:t>
      </w:r>
      <w:r w:rsidR="00320EFD">
        <w:rPr>
          <w:rFonts w:ascii="Times New Roman" w:hAnsi="Times New Roman" w:cs="Times New Roman"/>
          <w:sz w:val="20"/>
          <w:szCs w:val="20"/>
        </w:rPr>
        <w:t>на «зелену» електроенергію</w:t>
      </w:r>
      <w:r w:rsidR="00C14A27" w:rsidRPr="00C14A27">
        <w:rPr>
          <w:rFonts w:ascii="Times New Roman" w:hAnsi="Times New Roman" w:cs="Times New Roman"/>
          <w:sz w:val="20"/>
          <w:szCs w:val="20"/>
        </w:rPr>
        <w:t xml:space="preserve">. Так, </w:t>
      </w:r>
      <w:r w:rsidR="00320EFD">
        <w:rPr>
          <w:rFonts w:ascii="Times New Roman" w:hAnsi="Times New Roman" w:cs="Times New Roman"/>
          <w:sz w:val="20"/>
          <w:szCs w:val="20"/>
        </w:rPr>
        <w:t>вітчизняна</w:t>
      </w:r>
      <w:r w:rsidR="00C14A27" w:rsidRPr="00C14A27">
        <w:rPr>
          <w:rFonts w:ascii="Times New Roman" w:hAnsi="Times New Roman" w:cs="Times New Roman"/>
          <w:sz w:val="20"/>
          <w:szCs w:val="20"/>
        </w:rPr>
        <w:t xml:space="preserve"> практика стимулювання розвитку </w:t>
      </w:r>
      <w:r w:rsidR="00320EFD">
        <w:rPr>
          <w:rFonts w:ascii="Times New Roman" w:hAnsi="Times New Roman" w:cs="Times New Roman"/>
          <w:sz w:val="20"/>
          <w:szCs w:val="20"/>
        </w:rPr>
        <w:t>альтернативної енергетики</w:t>
      </w:r>
      <w:r w:rsidR="00C14A27" w:rsidRPr="00C14A27">
        <w:rPr>
          <w:rFonts w:ascii="Times New Roman" w:hAnsi="Times New Roman" w:cs="Times New Roman"/>
          <w:sz w:val="20"/>
          <w:szCs w:val="20"/>
        </w:rPr>
        <w:t xml:space="preserve"> за рахунок </w:t>
      </w:r>
      <w:r w:rsidR="00320EFD">
        <w:rPr>
          <w:rFonts w:ascii="Times New Roman" w:hAnsi="Times New Roman" w:cs="Times New Roman"/>
          <w:sz w:val="20"/>
          <w:szCs w:val="20"/>
        </w:rPr>
        <w:t xml:space="preserve">завищених тарифів на відновлювальну електроенергію </w:t>
      </w:r>
      <w:r w:rsidR="00C14A27" w:rsidRPr="00C14A27">
        <w:rPr>
          <w:rFonts w:ascii="Times New Roman" w:hAnsi="Times New Roman" w:cs="Times New Roman"/>
          <w:sz w:val="20"/>
          <w:szCs w:val="20"/>
        </w:rPr>
        <w:t xml:space="preserve">та </w:t>
      </w:r>
      <w:r w:rsidR="00320EFD">
        <w:rPr>
          <w:rFonts w:ascii="Times New Roman" w:hAnsi="Times New Roman" w:cs="Times New Roman"/>
          <w:sz w:val="20"/>
          <w:szCs w:val="20"/>
        </w:rPr>
        <w:t>її</w:t>
      </w:r>
      <w:r w:rsidR="00C14A27" w:rsidRPr="00C14A27">
        <w:rPr>
          <w:rFonts w:ascii="Times New Roman" w:hAnsi="Times New Roman" w:cs="Times New Roman"/>
          <w:sz w:val="20"/>
          <w:szCs w:val="20"/>
        </w:rPr>
        <w:t xml:space="preserve"> “прив’язки</w:t>
      </w:r>
      <w:r w:rsidR="00320EFD" w:rsidRPr="00320EFD">
        <w:rPr>
          <w:rFonts w:ascii="Times New Roman" w:hAnsi="Times New Roman" w:cs="Times New Roman"/>
          <w:sz w:val="20"/>
          <w:szCs w:val="20"/>
        </w:rPr>
        <w:t>”</w:t>
      </w:r>
      <w:r w:rsidR="00320EFD">
        <w:rPr>
          <w:rFonts w:ascii="Times New Roman" w:hAnsi="Times New Roman" w:cs="Times New Roman"/>
          <w:sz w:val="20"/>
          <w:szCs w:val="20"/>
        </w:rPr>
        <w:t xml:space="preserve"> до курсу євро спричинила</w:t>
      </w:r>
      <w:r w:rsidR="00C14A27" w:rsidRPr="00C14A27">
        <w:rPr>
          <w:rFonts w:ascii="Times New Roman" w:hAnsi="Times New Roman" w:cs="Times New Roman"/>
          <w:sz w:val="20"/>
          <w:szCs w:val="20"/>
        </w:rPr>
        <w:t xml:space="preserve"> зростання середньозваженої оптової ціни електричної енергії, що </w:t>
      </w:r>
      <w:r w:rsidR="00320EFD">
        <w:rPr>
          <w:rFonts w:ascii="Times New Roman" w:hAnsi="Times New Roman" w:cs="Times New Roman"/>
          <w:sz w:val="20"/>
          <w:szCs w:val="20"/>
        </w:rPr>
        <w:t>у підсумку</w:t>
      </w:r>
      <w:r w:rsidR="00C14A27" w:rsidRPr="00C14A27">
        <w:rPr>
          <w:rFonts w:ascii="Times New Roman" w:hAnsi="Times New Roman" w:cs="Times New Roman"/>
          <w:sz w:val="20"/>
          <w:szCs w:val="20"/>
        </w:rPr>
        <w:t xml:space="preserve"> стримує </w:t>
      </w:r>
      <w:r w:rsidR="00320EFD">
        <w:rPr>
          <w:rFonts w:ascii="Times New Roman" w:hAnsi="Times New Roman" w:cs="Times New Roman"/>
          <w:sz w:val="20"/>
          <w:szCs w:val="20"/>
        </w:rPr>
        <w:t>попит</w:t>
      </w:r>
      <w:r w:rsidR="00C14A27" w:rsidRPr="00C14A27">
        <w:rPr>
          <w:rFonts w:ascii="Times New Roman" w:hAnsi="Times New Roman" w:cs="Times New Roman"/>
          <w:sz w:val="20"/>
          <w:szCs w:val="20"/>
        </w:rPr>
        <w:t xml:space="preserve"> на</w:t>
      </w:r>
      <w:r w:rsidR="00320EFD">
        <w:rPr>
          <w:rFonts w:ascii="Times New Roman" w:hAnsi="Times New Roman" w:cs="Times New Roman"/>
          <w:sz w:val="20"/>
          <w:szCs w:val="20"/>
        </w:rPr>
        <w:t xml:space="preserve"> «зелену»</w:t>
      </w:r>
      <w:r w:rsidR="00C14A27" w:rsidRPr="00C14A27">
        <w:rPr>
          <w:rFonts w:ascii="Times New Roman" w:hAnsi="Times New Roman" w:cs="Times New Roman"/>
          <w:sz w:val="20"/>
          <w:szCs w:val="20"/>
        </w:rPr>
        <w:t xml:space="preserve"> електроенергію </w:t>
      </w:r>
      <w:r w:rsidR="00320EFD">
        <w:rPr>
          <w:rFonts w:ascii="Times New Roman" w:hAnsi="Times New Roman" w:cs="Times New Roman"/>
          <w:sz w:val="20"/>
          <w:szCs w:val="20"/>
        </w:rPr>
        <w:t xml:space="preserve">в </w:t>
      </w:r>
      <w:r w:rsidR="00C14A27" w:rsidRPr="00C14A27">
        <w:rPr>
          <w:rFonts w:ascii="Times New Roman" w:hAnsi="Times New Roman" w:cs="Times New Roman"/>
          <w:sz w:val="20"/>
          <w:szCs w:val="20"/>
        </w:rPr>
        <w:t>країні,</w:t>
      </w:r>
      <w:r w:rsidR="00320EFD">
        <w:rPr>
          <w:rFonts w:ascii="Times New Roman" w:hAnsi="Times New Roman" w:cs="Times New Roman"/>
          <w:sz w:val="20"/>
          <w:szCs w:val="20"/>
        </w:rPr>
        <w:t xml:space="preserve"> а також</w:t>
      </w:r>
      <w:r w:rsidR="00C14A27" w:rsidRPr="00C14A27">
        <w:rPr>
          <w:rFonts w:ascii="Times New Roman" w:hAnsi="Times New Roman" w:cs="Times New Roman"/>
          <w:sz w:val="20"/>
          <w:szCs w:val="20"/>
        </w:rPr>
        <w:t xml:space="preserve"> знижує інвестиційну привабливість </w:t>
      </w:r>
      <w:r w:rsidR="00320EFD">
        <w:rPr>
          <w:rFonts w:ascii="Times New Roman" w:hAnsi="Times New Roman" w:cs="Times New Roman"/>
          <w:sz w:val="20"/>
          <w:szCs w:val="20"/>
        </w:rPr>
        <w:t xml:space="preserve"> будівництва</w:t>
      </w:r>
      <w:r w:rsidR="00C14A27" w:rsidRPr="00C14A27">
        <w:rPr>
          <w:rFonts w:ascii="Times New Roman" w:hAnsi="Times New Roman" w:cs="Times New Roman"/>
          <w:sz w:val="20"/>
          <w:szCs w:val="20"/>
        </w:rPr>
        <w:t xml:space="preserve"> нових потужностей.</w:t>
      </w:r>
    </w:p>
    <w:p w:rsidR="00796054" w:rsidRPr="00796054" w:rsidRDefault="00320EFD" w:rsidP="00D72EF3">
      <w:pPr>
        <w:spacing w:line="240" w:lineRule="auto"/>
        <w:rPr>
          <w:rFonts w:ascii="Times New Roman" w:hAnsi="Times New Roman" w:cs="Times New Roman"/>
          <w:sz w:val="20"/>
          <w:szCs w:val="20"/>
        </w:rPr>
      </w:pPr>
      <w:r>
        <w:rPr>
          <w:rFonts w:ascii="Times New Roman" w:hAnsi="Times New Roman" w:cs="Times New Roman"/>
          <w:sz w:val="20"/>
          <w:szCs w:val="20"/>
        </w:rPr>
        <w:t xml:space="preserve">Серед інших проблем впровадження відновлювальних джерел енергії в Україні можна назвати наступні: </w:t>
      </w:r>
      <w:r w:rsidR="00796054" w:rsidRPr="00796054">
        <w:rPr>
          <w:rFonts w:ascii="Times New Roman" w:hAnsi="Times New Roman" w:cs="Times New Roman"/>
          <w:sz w:val="20"/>
          <w:szCs w:val="20"/>
        </w:rPr>
        <w:t>низька довіра до сис</w:t>
      </w:r>
      <w:r w:rsidR="00796054">
        <w:rPr>
          <w:rFonts w:ascii="Times New Roman" w:hAnsi="Times New Roman" w:cs="Times New Roman"/>
          <w:sz w:val="20"/>
          <w:szCs w:val="20"/>
        </w:rPr>
        <w:t>теми стимулювання розвитку альтернативної енергетики;</w:t>
      </w:r>
      <w:r w:rsidR="00472A11">
        <w:rPr>
          <w:rFonts w:ascii="Times New Roman" w:hAnsi="Times New Roman" w:cs="Times New Roman"/>
          <w:sz w:val="20"/>
          <w:szCs w:val="20"/>
        </w:rPr>
        <w:t xml:space="preserve"> </w:t>
      </w:r>
      <w:r w:rsidR="00796054">
        <w:rPr>
          <w:rFonts w:ascii="Times New Roman" w:hAnsi="Times New Roman" w:cs="Times New Roman"/>
          <w:sz w:val="20"/>
          <w:szCs w:val="20"/>
        </w:rPr>
        <w:t xml:space="preserve"> існування бар’єрів входу на ринок ВДЕ</w:t>
      </w:r>
      <w:r w:rsidR="00472A11">
        <w:rPr>
          <w:rFonts w:ascii="Times New Roman" w:hAnsi="Times New Roman" w:cs="Times New Roman"/>
          <w:sz w:val="20"/>
          <w:szCs w:val="20"/>
        </w:rPr>
        <w:t xml:space="preserve">; </w:t>
      </w:r>
      <w:r w:rsidR="00796054">
        <w:rPr>
          <w:rFonts w:ascii="Times New Roman" w:hAnsi="Times New Roman" w:cs="Times New Roman"/>
          <w:sz w:val="20"/>
          <w:szCs w:val="20"/>
        </w:rPr>
        <w:t>технічна складні</w:t>
      </w:r>
      <w:r w:rsidR="00472A11">
        <w:rPr>
          <w:rFonts w:ascii="Times New Roman" w:hAnsi="Times New Roman" w:cs="Times New Roman"/>
          <w:sz w:val="20"/>
          <w:szCs w:val="20"/>
        </w:rPr>
        <w:t xml:space="preserve">сть приєднання до електромереж; </w:t>
      </w:r>
      <w:r w:rsidR="00796054">
        <w:rPr>
          <w:rFonts w:ascii="Times New Roman" w:hAnsi="Times New Roman" w:cs="Times New Roman"/>
          <w:sz w:val="20"/>
          <w:szCs w:val="20"/>
        </w:rPr>
        <w:t xml:space="preserve">відсутність практики колективного та </w:t>
      </w:r>
      <w:r w:rsidR="00796054" w:rsidRPr="00C14A27">
        <w:rPr>
          <w:rFonts w:ascii="Times New Roman" w:hAnsi="Times New Roman" w:cs="Times New Roman"/>
          <w:sz w:val="20"/>
          <w:szCs w:val="20"/>
        </w:rPr>
        <w:t>кооперат</w:t>
      </w:r>
      <w:r w:rsidR="00796054">
        <w:rPr>
          <w:rFonts w:ascii="Times New Roman" w:hAnsi="Times New Roman" w:cs="Times New Roman"/>
          <w:sz w:val="20"/>
          <w:szCs w:val="20"/>
        </w:rPr>
        <w:t>ивного інвестування у «зелені» проекти, тощо.</w:t>
      </w:r>
    </w:p>
    <w:p w:rsidR="00C14A27" w:rsidRDefault="00796054" w:rsidP="00D72EF3">
      <w:pPr>
        <w:spacing w:line="240" w:lineRule="auto"/>
        <w:rPr>
          <w:rFonts w:ascii="Times New Roman" w:hAnsi="Times New Roman" w:cs="Times New Roman"/>
          <w:sz w:val="20"/>
          <w:szCs w:val="20"/>
        </w:rPr>
      </w:pPr>
      <w:r>
        <w:rPr>
          <w:rFonts w:ascii="Times New Roman" w:hAnsi="Times New Roman" w:cs="Times New Roman"/>
          <w:sz w:val="20"/>
          <w:szCs w:val="20"/>
        </w:rPr>
        <w:t xml:space="preserve">Саме тому, можна визначити рекомендації щодо вирішення існуючих проблем ринку </w:t>
      </w:r>
      <w:r w:rsidR="00472A11">
        <w:rPr>
          <w:rFonts w:ascii="Times New Roman" w:hAnsi="Times New Roman" w:cs="Times New Roman"/>
          <w:sz w:val="20"/>
          <w:szCs w:val="20"/>
        </w:rPr>
        <w:t xml:space="preserve">альтернативної енергетики </w:t>
      </w:r>
      <w:r>
        <w:rPr>
          <w:rFonts w:ascii="Times New Roman" w:hAnsi="Times New Roman" w:cs="Times New Roman"/>
          <w:sz w:val="20"/>
          <w:szCs w:val="20"/>
        </w:rPr>
        <w:t xml:space="preserve">в Україні із врахуванням світової практики </w:t>
      </w:r>
      <w:r w:rsidR="00472A11">
        <w:rPr>
          <w:rFonts w:ascii="Times New Roman" w:hAnsi="Times New Roman" w:cs="Times New Roman"/>
          <w:sz w:val="20"/>
          <w:szCs w:val="20"/>
        </w:rPr>
        <w:t xml:space="preserve">впровадження ВДЕ, а саме: </w:t>
      </w:r>
    </w:p>
    <w:p w:rsidR="00C14A27" w:rsidRDefault="00472A11" w:rsidP="00D72EF3">
      <w:pPr>
        <w:spacing w:line="240" w:lineRule="auto"/>
        <w:ind w:firstLine="0"/>
        <w:rPr>
          <w:rFonts w:ascii="Times New Roman" w:hAnsi="Times New Roman" w:cs="Times New Roman"/>
          <w:sz w:val="20"/>
          <w:szCs w:val="20"/>
        </w:rPr>
      </w:pPr>
      <w:r w:rsidRPr="00472A11">
        <w:rPr>
          <w:rFonts w:ascii="Times New Roman" w:hAnsi="Times New Roman" w:cs="Times New Roman"/>
          <w:sz w:val="20"/>
          <w:szCs w:val="20"/>
        </w:rPr>
        <w:t>-</w:t>
      </w:r>
      <w:r>
        <w:rPr>
          <w:rFonts w:ascii="Times New Roman" w:hAnsi="Times New Roman" w:cs="Times New Roman"/>
          <w:sz w:val="20"/>
          <w:szCs w:val="20"/>
        </w:rPr>
        <w:t xml:space="preserve"> п</w:t>
      </w:r>
      <w:r w:rsidR="00C14A27" w:rsidRPr="00C14A27">
        <w:rPr>
          <w:rFonts w:ascii="Times New Roman" w:hAnsi="Times New Roman" w:cs="Times New Roman"/>
          <w:sz w:val="20"/>
          <w:szCs w:val="20"/>
        </w:rPr>
        <w:t>роведення</w:t>
      </w:r>
      <w:r>
        <w:rPr>
          <w:rFonts w:ascii="Times New Roman" w:hAnsi="Times New Roman" w:cs="Times New Roman"/>
          <w:sz w:val="20"/>
          <w:szCs w:val="20"/>
        </w:rPr>
        <w:t xml:space="preserve"> публічної комунікаційної кампанії, спрямованої на просування державної політики розвитку сектору ВДЕ;</w:t>
      </w:r>
    </w:p>
    <w:p w:rsidR="00472A11" w:rsidRDefault="00472A11" w:rsidP="00D72EF3">
      <w:pPr>
        <w:spacing w:line="240" w:lineRule="auto"/>
        <w:ind w:firstLine="0"/>
        <w:rPr>
          <w:rFonts w:ascii="Times New Roman" w:hAnsi="Times New Roman" w:cs="Times New Roman"/>
          <w:sz w:val="20"/>
          <w:szCs w:val="20"/>
        </w:rPr>
      </w:pPr>
      <w:r>
        <w:rPr>
          <w:rFonts w:ascii="Times New Roman" w:hAnsi="Times New Roman" w:cs="Times New Roman"/>
          <w:sz w:val="20"/>
          <w:szCs w:val="20"/>
        </w:rPr>
        <w:t>- спрощення та оптимізація процедур отримання дозволів на встановлення об’єктів ВДЕ;</w:t>
      </w:r>
    </w:p>
    <w:p w:rsidR="00472A11" w:rsidRDefault="00472A11" w:rsidP="00D72EF3">
      <w:pPr>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залучення коштів через допомогу </w:t>
      </w:r>
      <w:r w:rsidR="00C70A48">
        <w:rPr>
          <w:rFonts w:ascii="Times New Roman" w:hAnsi="Times New Roman" w:cs="Times New Roman"/>
          <w:sz w:val="20"/>
          <w:szCs w:val="20"/>
        </w:rPr>
        <w:t xml:space="preserve">комерційним </w:t>
      </w:r>
      <w:r>
        <w:rPr>
          <w:rFonts w:ascii="Times New Roman" w:hAnsi="Times New Roman" w:cs="Times New Roman"/>
          <w:sz w:val="20"/>
          <w:szCs w:val="20"/>
        </w:rPr>
        <w:t>банк</w:t>
      </w:r>
      <w:r w:rsidR="00C70A48">
        <w:rPr>
          <w:rFonts w:ascii="Times New Roman" w:hAnsi="Times New Roman" w:cs="Times New Roman"/>
          <w:sz w:val="20"/>
          <w:szCs w:val="20"/>
        </w:rPr>
        <w:t xml:space="preserve">ам </w:t>
      </w:r>
      <w:r>
        <w:rPr>
          <w:rFonts w:ascii="Times New Roman" w:hAnsi="Times New Roman" w:cs="Times New Roman"/>
          <w:sz w:val="20"/>
          <w:szCs w:val="20"/>
        </w:rPr>
        <w:t xml:space="preserve">в </w:t>
      </w:r>
      <w:r w:rsidRPr="00C14A27">
        <w:rPr>
          <w:rFonts w:ascii="Times New Roman" w:hAnsi="Times New Roman" w:cs="Times New Roman"/>
          <w:sz w:val="20"/>
          <w:szCs w:val="20"/>
        </w:rPr>
        <w:t>частині п</w:t>
      </w:r>
      <w:r>
        <w:rPr>
          <w:rFonts w:ascii="Times New Roman" w:hAnsi="Times New Roman" w:cs="Times New Roman"/>
          <w:sz w:val="20"/>
          <w:szCs w:val="20"/>
        </w:rPr>
        <w:t xml:space="preserve">роведення комплексної юридичної та фінансової </w:t>
      </w:r>
      <w:r w:rsidRPr="00C14A27">
        <w:rPr>
          <w:rFonts w:ascii="Times New Roman" w:hAnsi="Times New Roman" w:cs="Times New Roman"/>
          <w:sz w:val="20"/>
          <w:szCs w:val="20"/>
        </w:rPr>
        <w:t>перевірки (</w:t>
      </w:r>
      <w:proofErr w:type="spellStart"/>
      <w:r>
        <w:rPr>
          <w:rFonts w:ascii="Times New Roman" w:hAnsi="Times New Roman" w:cs="Times New Roman"/>
          <w:sz w:val="20"/>
          <w:szCs w:val="20"/>
        </w:rPr>
        <w:t>due</w:t>
      </w:r>
      <w:proofErr w:type="spellEnd"/>
      <w:r>
        <w:rPr>
          <w:rFonts w:ascii="Times New Roman" w:hAnsi="Times New Roman" w:cs="Times New Roman"/>
          <w:sz w:val="20"/>
          <w:szCs w:val="20"/>
        </w:rPr>
        <w:t xml:space="preserve"> </w:t>
      </w:r>
      <w:proofErr w:type="spellStart"/>
      <w:r w:rsidRPr="00C14A27">
        <w:rPr>
          <w:rFonts w:ascii="Times New Roman" w:hAnsi="Times New Roman" w:cs="Times New Roman"/>
          <w:sz w:val="20"/>
          <w:szCs w:val="20"/>
        </w:rPr>
        <w:t>diligence</w:t>
      </w:r>
      <w:proofErr w:type="spellEnd"/>
      <w:r w:rsidRPr="00C14A27">
        <w:rPr>
          <w:rFonts w:ascii="Times New Roman" w:hAnsi="Times New Roman" w:cs="Times New Roman"/>
          <w:sz w:val="20"/>
          <w:szCs w:val="20"/>
        </w:rPr>
        <w:t xml:space="preserve">) </w:t>
      </w:r>
      <w:r>
        <w:rPr>
          <w:rFonts w:ascii="Times New Roman" w:hAnsi="Times New Roman" w:cs="Times New Roman"/>
          <w:sz w:val="20"/>
          <w:szCs w:val="20"/>
        </w:rPr>
        <w:t xml:space="preserve">проектів </w:t>
      </w:r>
      <w:r w:rsidRPr="00C14A27">
        <w:rPr>
          <w:rFonts w:ascii="Times New Roman" w:hAnsi="Times New Roman" w:cs="Times New Roman"/>
          <w:sz w:val="20"/>
          <w:szCs w:val="20"/>
        </w:rPr>
        <w:t>відновлюваної енергетики</w:t>
      </w:r>
      <w:r>
        <w:rPr>
          <w:rFonts w:ascii="Times New Roman" w:hAnsi="Times New Roman" w:cs="Times New Roman"/>
          <w:sz w:val="20"/>
          <w:szCs w:val="20"/>
        </w:rPr>
        <w:t>;</w:t>
      </w:r>
    </w:p>
    <w:p w:rsidR="00472A11" w:rsidRDefault="00472A11" w:rsidP="00D72EF3">
      <w:pPr>
        <w:spacing w:line="240" w:lineRule="auto"/>
        <w:ind w:firstLine="0"/>
        <w:rPr>
          <w:rFonts w:ascii="Times New Roman" w:hAnsi="Times New Roman" w:cs="Times New Roman"/>
          <w:sz w:val="20"/>
          <w:szCs w:val="20"/>
        </w:rPr>
      </w:pPr>
      <w:r>
        <w:rPr>
          <w:rFonts w:ascii="Times New Roman" w:hAnsi="Times New Roman" w:cs="Times New Roman"/>
          <w:sz w:val="20"/>
          <w:szCs w:val="20"/>
        </w:rPr>
        <w:t>- сприяння розвитку колективного інвестування у ВДЕ за прикладом європейських енергетичних кооперативів;</w:t>
      </w:r>
    </w:p>
    <w:p w:rsidR="00262055" w:rsidRPr="00472A11" w:rsidRDefault="00472A11" w:rsidP="00D72EF3">
      <w:pPr>
        <w:spacing w:line="240" w:lineRule="auto"/>
        <w:ind w:firstLine="0"/>
        <w:rPr>
          <w:rFonts w:ascii="Times New Roman" w:hAnsi="Times New Roman" w:cs="Times New Roman"/>
          <w:sz w:val="20"/>
          <w:szCs w:val="20"/>
        </w:rPr>
      </w:pPr>
      <w:r>
        <w:rPr>
          <w:rFonts w:ascii="Times New Roman" w:hAnsi="Times New Roman" w:cs="Times New Roman"/>
          <w:sz w:val="20"/>
          <w:szCs w:val="20"/>
        </w:rPr>
        <w:t>- підтримка та сприяння досліджень у розробці системи покращення енергоефективності.</w:t>
      </w:r>
    </w:p>
    <w:p w:rsidR="00472A11" w:rsidRPr="00472A11" w:rsidRDefault="007B30E1" w:rsidP="006C69D8">
      <w:pPr>
        <w:spacing w:line="240" w:lineRule="auto"/>
        <w:rPr>
          <w:rFonts w:ascii="Times New Roman" w:hAnsi="Times New Roman" w:cs="Times New Roman"/>
          <w:sz w:val="20"/>
          <w:szCs w:val="20"/>
        </w:rPr>
      </w:pPr>
      <w:r w:rsidRPr="007B30E1">
        <w:rPr>
          <w:rFonts w:ascii="Times New Roman" w:hAnsi="Times New Roman" w:cs="Times New Roman"/>
          <w:b/>
          <w:sz w:val="20"/>
          <w:szCs w:val="20"/>
        </w:rPr>
        <w:t>Висновки.</w:t>
      </w:r>
      <w:r w:rsidR="00472A11">
        <w:rPr>
          <w:rFonts w:ascii="Times New Roman" w:hAnsi="Times New Roman" w:cs="Times New Roman"/>
          <w:b/>
          <w:sz w:val="20"/>
          <w:szCs w:val="20"/>
        </w:rPr>
        <w:t xml:space="preserve"> </w:t>
      </w:r>
      <w:r w:rsidR="00472A11" w:rsidRPr="00472A11">
        <w:rPr>
          <w:rFonts w:ascii="Times New Roman" w:hAnsi="Times New Roman" w:cs="Times New Roman"/>
          <w:sz w:val="20"/>
          <w:szCs w:val="20"/>
        </w:rPr>
        <w:t>Таким чином,</w:t>
      </w:r>
      <w:r w:rsidR="00D72EF3">
        <w:rPr>
          <w:rFonts w:ascii="Times New Roman" w:hAnsi="Times New Roman" w:cs="Times New Roman"/>
          <w:sz w:val="20"/>
          <w:szCs w:val="20"/>
        </w:rPr>
        <w:t xml:space="preserve"> </w:t>
      </w:r>
      <w:r w:rsidR="00C70A48">
        <w:rPr>
          <w:rFonts w:ascii="Times New Roman" w:hAnsi="Times New Roman" w:cs="Times New Roman"/>
          <w:color w:val="000000" w:themeColor="text1"/>
          <w:sz w:val="20"/>
          <w:szCs w:val="20"/>
        </w:rPr>
        <w:t>а</w:t>
      </w:r>
      <w:r w:rsidR="00D72EF3" w:rsidRPr="00D72EF3">
        <w:rPr>
          <w:rFonts w:ascii="Times New Roman" w:hAnsi="Times New Roman" w:cs="Times New Roman"/>
          <w:color w:val="000000" w:themeColor="text1"/>
          <w:sz w:val="20"/>
          <w:szCs w:val="20"/>
        </w:rPr>
        <w:t>наліз тенденцій розвитку світової енергетики показує, що ключовими факторами є надійність енергопостачання, енергетична безпека, енергоефективність і екологічна гармонізація. При цьому підвищення рівня енергоефективності є стратегічним напрямом зниження енергоємності економіки.</w:t>
      </w:r>
      <w:r w:rsidR="00C70A48">
        <w:rPr>
          <w:rFonts w:ascii="Times New Roman" w:hAnsi="Times New Roman" w:cs="Times New Roman"/>
          <w:color w:val="000000" w:themeColor="text1"/>
          <w:sz w:val="20"/>
          <w:szCs w:val="20"/>
        </w:rPr>
        <w:t xml:space="preserve"> Світовий ринок альтернативної енергетики має всі тенденції до домінування у світовій</w:t>
      </w:r>
      <w:r w:rsidR="00F1263E">
        <w:rPr>
          <w:rFonts w:ascii="Times New Roman" w:hAnsi="Times New Roman" w:cs="Times New Roman"/>
          <w:color w:val="000000" w:themeColor="text1"/>
          <w:sz w:val="20"/>
          <w:szCs w:val="20"/>
        </w:rPr>
        <w:t xml:space="preserve"> структурі енергопостачання, однак на сьогодні існують певні технічні перешкоди щодо швидкого впровадження об’єктів відновлювальних джерел енергії, які за ефективних державних механізмів вже вирішуються провідними гравцями на цьому ринку. Україна, маючи значний потенціал розвитку альтернативної енергетики, досі не використовує його у повній мірі. Однак,  </w:t>
      </w:r>
      <w:r w:rsidR="006C69D8">
        <w:rPr>
          <w:rFonts w:ascii="Times New Roman" w:hAnsi="Times New Roman" w:cs="Times New Roman"/>
          <w:color w:val="000000" w:themeColor="text1"/>
          <w:sz w:val="20"/>
          <w:szCs w:val="20"/>
        </w:rPr>
        <w:t xml:space="preserve">досягнення довгострокових цілей у сфері енергетики, що відповідають світовим тенденціям, </w:t>
      </w:r>
      <w:r w:rsidR="006C69D8">
        <w:rPr>
          <w:rFonts w:ascii="Times New Roman" w:hAnsi="Times New Roman" w:cs="Times New Roman"/>
          <w:sz w:val="20"/>
          <w:szCs w:val="20"/>
        </w:rPr>
        <w:t>означає</w:t>
      </w:r>
      <w:r w:rsidR="006C69D8" w:rsidRPr="000F15D1">
        <w:rPr>
          <w:rFonts w:ascii="Times New Roman" w:hAnsi="Times New Roman" w:cs="Times New Roman"/>
          <w:sz w:val="20"/>
          <w:szCs w:val="20"/>
        </w:rPr>
        <w:t xml:space="preserve"> реформування економіки</w:t>
      </w:r>
      <w:r w:rsidR="006C69D8">
        <w:rPr>
          <w:rFonts w:ascii="Times New Roman" w:hAnsi="Times New Roman" w:cs="Times New Roman"/>
          <w:sz w:val="20"/>
          <w:szCs w:val="20"/>
        </w:rPr>
        <w:t xml:space="preserve"> України</w:t>
      </w:r>
      <w:r w:rsidR="006C69D8" w:rsidRPr="000F15D1">
        <w:rPr>
          <w:rFonts w:ascii="Times New Roman" w:hAnsi="Times New Roman" w:cs="Times New Roman"/>
          <w:sz w:val="20"/>
          <w:szCs w:val="20"/>
        </w:rPr>
        <w:t xml:space="preserve">, </w:t>
      </w:r>
      <w:r w:rsidR="006C69D8">
        <w:rPr>
          <w:rFonts w:ascii="Times New Roman" w:hAnsi="Times New Roman" w:cs="Times New Roman"/>
          <w:sz w:val="20"/>
          <w:szCs w:val="20"/>
        </w:rPr>
        <w:t xml:space="preserve">головними </w:t>
      </w:r>
      <w:r w:rsidR="006C69D8" w:rsidRPr="000F15D1">
        <w:rPr>
          <w:rFonts w:ascii="Times New Roman" w:hAnsi="Times New Roman" w:cs="Times New Roman"/>
          <w:sz w:val="20"/>
          <w:szCs w:val="20"/>
        </w:rPr>
        <w:t xml:space="preserve"> </w:t>
      </w:r>
      <w:r w:rsidR="006C69D8">
        <w:rPr>
          <w:rFonts w:ascii="Times New Roman" w:hAnsi="Times New Roman" w:cs="Times New Roman"/>
          <w:sz w:val="20"/>
          <w:szCs w:val="20"/>
        </w:rPr>
        <w:t>пріоритетами</w:t>
      </w:r>
      <w:r w:rsidR="006C69D8" w:rsidRPr="000F15D1">
        <w:rPr>
          <w:rFonts w:ascii="Times New Roman" w:hAnsi="Times New Roman" w:cs="Times New Roman"/>
          <w:sz w:val="20"/>
          <w:szCs w:val="20"/>
        </w:rPr>
        <w:t xml:space="preserve"> якої мають стати</w:t>
      </w:r>
      <w:r w:rsidR="006C69D8">
        <w:rPr>
          <w:rFonts w:ascii="Times New Roman" w:hAnsi="Times New Roman" w:cs="Times New Roman"/>
          <w:sz w:val="20"/>
          <w:szCs w:val="20"/>
        </w:rPr>
        <w:t xml:space="preserve"> покращення енергоефективності та </w:t>
      </w:r>
      <w:r w:rsidR="006C69D8" w:rsidRPr="000F15D1">
        <w:rPr>
          <w:rFonts w:ascii="Times New Roman" w:hAnsi="Times New Roman" w:cs="Times New Roman"/>
          <w:sz w:val="20"/>
          <w:szCs w:val="20"/>
        </w:rPr>
        <w:t>збільшення частки відновлюваних</w:t>
      </w:r>
      <w:r w:rsidR="006C69D8">
        <w:rPr>
          <w:rFonts w:ascii="Times New Roman" w:hAnsi="Times New Roman" w:cs="Times New Roman"/>
          <w:sz w:val="20"/>
          <w:szCs w:val="20"/>
        </w:rPr>
        <w:t xml:space="preserve"> і нетрадиційних джерел енергії.</w:t>
      </w:r>
    </w:p>
    <w:p w:rsidR="007B30E1" w:rsidRPr="007B30E1" w:rsidRDefault="007B30E1" w:rsidP="007B30E1">
      <w:pPr>
        <w:spacing w:line="240" w:lineRule="auto"/>
        <w:jc w:val="center"/>
        <w:rPr>
          <w:rFonts w:ascii="Times New Roman" w:hAnsi="Times New Roman" w:cs="Times New Roman"/>
          <w:b/>
          <w:i/>
          <w:sz w:val="20"/>
          <w:szCs w:val="20"/>
        </w:rPr>
      </w:pPr>
      <w:bookmarkStart w:id="0" w:name="_GoBack"/>
      <w:bookmarkEnd w:id="0"/>
      <w:r w:rsidRPr="007B30E1">
        <w:rPr>
          <w:rFonts w:ascii="Times New Roman" w:hAnsi="Times New Roman" w:cs="Times New Roman"/>
          <w:b/>
          <w:i/>
          <w:sz w:val="20"/>
          <w:szCs w:val="20"/>
        </w:rPr>
        <w:t>Література</w:t>
      </w:r>
    </w:p>
    <w:p w:rsidR="007E167F" w:rsidRPr="008060E0" w:rsidRDefault="006C69D8" w:rsidP="00BC7926">
      <w:pPr>
        <w:spacing w:line="240" w:lineRule="auto"/>
        <w:ind w:firstLine="0"/>
        <w:rPr>
          <w:rFonts w:ascii="Times New Roman" w:hAnsi="Times New Roman" w:cs="Times New Roman"/>
          <w:sz w:val="20"/>
          <w:szCs w:val="20"/>
        </w:rPr>
      </w:pPr>
      <w:r w:rsidRPr="008060E0">
        <w:rPr>
          <w:rFonts w:ascii="Times New Roman" w:hAnsi="Times New Roman" w:cs="Times New Roman"/>
          <w:sz w:val="20"/>
          <w:szCs w:val="20"/>
        </w:rPr>
        <w:t xml:space="preserve">1. Набок І.І. Кон’юнктура світових товарних ринків: </w:t>
      </w:r>
      <w:proofErr w:type="spellStart"/>
      <w:r w:rsidRPr="008060E0">
        <w:rPr>
          <w:rFonts w:ascii="Times New Roman" w:hAnsi="Times New Roman" w:cs="Times New Roman"/>
          <w:sz w:val="20"/>
          <w:szCs w:val="20"/>
        </w:rPr>
        <w:t>навч</w:t>
      </w:r>
      <w:proofErr w:type="spellEnd"/>
      <w:r w:rsidRPr="008060E0">
        <w:rPr>
          <w:rFonts w:ascii="Times New Roman" w:hAnsi="Times New Roman" w:cs="Times New Roman"/>
          <w:sz w:val="20"/>
          <w:szCs w:val="20"/>
        </w:rPr>
        <w:t>. посібник /І.І.Набок. – К.: НАУ, 2018. – 193 с.</w:t>
      </w:r>
    </w:p>
    <w:p w:rsidR="00863F96" w:rsidRPr="008060E0" w:rsidRDefault="00863F96" w:rsidP="00BC7926">
      <w:pPr>
        <w:spacing w:line="240" w:lineRule="auto"/>
        <w:ind w:firstLine="0"/>
        <w:rPr>
          <w:rFonts w:ascii="Times New Roman" w:hAnsi="Times New Roman" w:cs="Times New Roman"/>
          <w:sz w:val="20"/>
          <w:szCs w:val="20"/>
          <w:lang w:val="ru-RU"/>
        </w:rPr>
      </w:pPr>
      <w:r w:rsidRPr="008060E0">
        <w:rPr>
          <w:rFonts w:ascii="Times New Roman" w:hAnsi="Times New Roman" w:cs="Times New Roman"/>
          <w:sz w:val="20"/>
          <w:szCs w:val="20"/>
          <w:lang w:val="ru-RU"/>
        </w:rPr>
        <w:lastRenderedPageBreak/>
        <w:t xml:space="preserve">2. </w:t>
      </w:r>
      <w:proofErr w:type="spellStart"/>
      <w:r w:rsidRPr="008060E0">
        <w:rPr>
          <w:rFonts w:ascii="Times New Roman" w:hAnsi="Times New Roman" w:cs="Times New Roman"/>
          <w:sz w:val="20"/>
          <w:szCs w:val="20"/>
        </w:rPr>
        <w:t>Суходоля</w:t>
      </w:r>
      <w:proofErr w:type="spellEnd"/>
      <w:r w:rsidRPr="008060E0">
        <w:rPr>
          <w:rFonts w:ascii="Times New Roman" w:hAnsi="Times New Roman" w:cs="Times New Roman"/>
          <w:sz w:val="20"/>
          <w:szCs w:val="20"/>
        </w:rPr>
        <w:t xml:space="preserve"> О.М. Стан і перспективи розвитку відновлюваної енергетики в Україні : </w:t>
      </w:r>
      <w:proofErr w:type="spellStart"/>
      <w:r w:rsidRPr="008060E0">
        <w:rPr>
          <w:rFonts w:ascii="Times New Roman" w:hAnsi="Times New Roman" w:cs="Times New Roman"/>
          <w:sz w:val="20"/>
          <w:szCs w:val="20"/>
        </w:rPr>
        <w:t>аналіт</w:t>
      </w:r>
      <w:proofErr w:type="spellEnd"/>
      <w:r w:rsidRPr="008060E0">
        <w:rPr>
          <w:rFonts w:ascii="Times New Roman" w:hAnsi="Times New Roman" w:cs="Times New Roman"/>
          <w:sz w:val="20"/>
          <w:szCs w:val="20"/>
        </w:rPr>
        <w:t xml:space="preserve">. </w:t>
      </w:r>
      <w:proofErr w:type="spellStart"/>
      <w:r w:rsidRPr="008060E0">
        <w:rPr>
          <w:rFonts w:ascii="Times New Roman" w:hAnsi="Times New Roman" w:cs="Times New Roman"/>
          <w:sz w:val="20"/>
          <w:szCs w:val="20"/>
        </w:rPr>
        <w:t>доп</w:t>
      </w:r>
      <w:proofErr w:type="spellEnd"/>
      <w:r w:rsidRPr="008060E0">
        <w:rPr>
          <w:rFonts w:ascii="Times New Roman" w:hAnsi="Times New Roman" w:cs="Times New Roman"/>
          <w:sz w:val="20"/>
          <w:szCs w:val="20"/>
        </w:rPr>
        <w:t xml:space="preserve">. / О. М. </w:t>
      </w:r>
      <w:proofErr w:type="spellStart"/>
      <w:r w:rsidRPr="008060E0">
        <w:rPr>
          <w:rFonts w:ascii="Times New Roman" w:hAnsi="Times New Roman" w:cs="Times New Roman"/>
          <w:sz w:val="20"/>
          <w:szCs w:val="20"/>
        </w:rPr>
        <w:t>Суходоля</w:t>
      </w:r>
      <w:proofErr w:type="spellEnd"/>
      <w:r w:rsidRPr="008060E0">
        <w:rPr>
          <w:rFonts w:ascii="Times New Roman" w:hAnsi="Times New Roman" w:cs="Times New Roman"/>
          <w:sz w:val="20"/>
          <w:szCs w:val="20"/>
        </w:rPr>
        <w:t xml:space="preserve">, А. Ю. </w:t>
      </w:r>
      <w:proofErr w:type="spellStart"/>
      <w:r w:rsidRPr="008060E0">
        <w:rPr>
          <w:rFonts w:ascii="Times New Roman" w:hAnsi="Times New Roman" w:cs="Times New Roman"/>
          <w:sz w:val="20"/>
          <w:szCs w:val="20"/>
        </w:rPr>
        <w:t>Сменковський</w:t>
      </w:r>
      <w:proofErr w:type="spellEnd"/>
      <w:r w:rsidRPr="008060E0">
        <w:rPr>
          <w:rFonts w:ascii="Times New Roman" w:hAnsi="Times New Roman" w:cs="Times New Roman"/>
          <w:sz w:val="20"/>
          <w:szCs w:val="20"/>
        </w:rPr>
        <w:t xml:space="preserve">, А. І. </w:t>
      </w:r>
      <w:proofErr w:type="spellStart"/>
      <w:r w:rsidRPr="008060E0">
        <w:rPr>
          <w:rFonts w:ascii="Times New Roman" w:hAnsi="Times New Roman" w:cs="Times New Roman"/>
          <w:sz w:val="20"/>
          <w:szCs w:val="20"/>
        </w:rPr>
        <w:t>Шевцов</w:t>
      </w:r>
      <w:proofErr w:type="spellEnd"/>
      <w:r w:rsidRPr="008060E0">
        <w:rPr>
          <w:rFonts w:ascii="Times New Roman" w:hAnsi="Times New Roman" w:cs="Times New Roman"/>
          <w:sz w:val="20"/>
          <w:szCs w:val="20"/>
        </w:rPr>
        <w:t xml:space="preserve">, М. Г. Земляний ; за ред. О. М. Суходолі. – К. : НІСД, 2013. – 104с. </w:t>
      </w:r>
    </w:p>
    <w:p w:rsidR="006C69D8" w:rsidRPr="008060E0" w:rsidRDefault="00863F96" w:rsidP="00BC7926">
      <w:pPr>
        <w:spacing w:line="240" w:lineRule="auto"/>
        <w:ind w:firstLine="0"/>
        <w:rPr>
          <w:rFonts w:ascii="Times New Roman" w:hAnsi="Times New Roman" w:cs="Times New Roman"/>
          <w:sz w:val="20"/>
          <w:szCs w:val="20"/>
          <w:lang w:val="ru-RU"/>
        </w:rPr>
      </w:pPr>
      <w:r w:rsidRPr="008060E0">
        <w:rPr>
          <w:rFonts w:ascii="Times New Roman" w:hAnsi="Times New Roman" w:cs="Times New Roman"/>
          <w:sz w:val="20"/>
          <w:szCs w:val="20"/>
        </w:rPr>
        <w:t>3</w:t>
      </w:r>
      <w:r w:rsidR="006C69D8" w:rsidRPr="008060E0">
        <w:rPr>
          <w:rFonts w:ascii="Times New Roman" w:hAnsi="Times New Roman" w:cs="Times New Roman"/>
          <w:sz w:val="20"/>
          <w:szCs w:val="20"/>
        </w:rPr>
        <w:t>.</w:t>
      </w:r>
      <w:r w:rsidRPr="008060E0">
        <w:rPr>
          <w:rFonts w:ascii="Times New Roman" w:hAnsi="Times New Roman" w:cs="Times New Roman"/>
          <w:sz w:val="20"/>
          <w:szCs w:val="20"/>
          <w:lang w:val="ru-RU"/>
        </w:rPr>
        <w:t xml:space="preserve"> Стан і </w:t>
      </w:r>
      <w:proofErr w:type="spellStart"/>
      <w:r w:rsidRPr="008060E0">
        <w:rPr>
          <w:rFonts w:ascii="Times New Roman" w:hAnsi="Times New Roman" w:cs="Times New Roman"/>
          <w:sz w:val="20"/>
          <w:szCs w:val="20"/>
          <w:lang w:val="ru-RU"/>
        </w:rPr>
        <w:t>перспективи</w:t>
      </w:r>
      <w:proofErr w:type="spellEnd"/>
      <w:r w:rsidRPr="008060E0">
        <w:rPr>
          <w:rFonts w:ascii="Times New Roman" w:hAnsi="Times New Roman" w:cs="Times New Roman"/>
          <w:sz w:val="20"/>
          <w:szCs w:val="20"/>
          <w:lang w:val="ru-RU"/>
        </w:rPr>
        <w:t xml:space="preserve"> </w:t>
      </w:r>
      <w:proofErr w:type="spellStart"/>
      <w:r w:rsidRPr="008060E0">
        <w:rPr>
          <w:rFonts w:ascii="Times New Roman" w:hAnsi="Times New Roman" w:cs="Times New Roman"/>
          <w:sz w:val="20"/>
          <w:szCs w:val="20"/>
          <w:lang w:val="ru-RU"/>
        </w:rPr>
        <w:t>розвитку</w:t>
      </w:r>
      <w:proofErr w:type="spellEnd"/>
      <w:r w:rsidRPr="008060E0">
        <w:rPr>
          <w:rFonts w:ascii="Times New Roman" w:hAnsi="Times New Roman" w:cs="Times New Roman"/>
          <w:sz w:val="20"/>
          <w:szCs w:val="20"/>
          <w:lang w:val="ru-RU"/>
        </w:rPr>
        <w:t xml:space="preserve"> </w:t>
      </w:r>
      <w:proofErr w:type="spellStart"/>
      <w:r w:rsidRPr="008060E0">
        <w:rPr>
          <w:rFonts w:ascii="Times New Roman" w:hAnsi="Times New Roman" w:cs="Times New Roman"/>
          <w:sz w:val="20"/>
          <w:szCs w:val="20"/>
          <w:lang w:val="ru-RU"/>
        </w:rPr>
        <w:t>технологій</w:t>
      </w:r>
      <w:proofErr w:type="spellEnd"/>
      <w:r w:rsidRPr="008060E0">
        <w:rPr>
          <w:rFonts w:ascii="Times New Roman" w:hAnsi="Times New Roman" w:cs="Times New Roman"/>
          <w:sz w:val="20"/>
          <w:szCs w:val="20"/>
          <w:lang w:val="ru-RU"/>
        </w:rPr>
        <w:t xml:space="preserve"> «</w:t>
      </w:r>
      <w:proofErr w:type="spellStart"/>
      <w:r w:rsidRPr="008060E0">
        <w:rPr>
          <w:rFonts w:ascii="Times New Roman" w:hAnsi="Times New Roman" w:cs="Times New Roman"/>
          <w:sz w:val="20"/>
          <w:szCs w:val="20"/>
          <w:lang w:val="ru-RU"/>
        </w:rPr>
        <w:t>інтелектуальних</w:t>
      </w:r>
      <w:proofErr w:type="spellEnd"/>
      <w:r w:rsidRPr="008060E0">
        <w:rPr>
          <w:rFonts w:ascii="Times New Roman" w:hAnsi="Times New Roman" w:cs="Times New Roman"/>
          <w:sz w:val="20"/>
          <w:szCs w:val="20"/>
          <w:lang w:val="ru-RU"/>
        </w:rPr>
        <w:t xml:space="preserve">» </w:t>
      </w:r>
      <w:proofErr w:type="spellStart"/>
      <w:r w:rsidRPr="008060E0">
        <w:rPr>
          <w:rFonts w:ascii="Times New Roman" w:hAnsi="Times New Roman" w:cs="Times New Roman"/>
          <w:sz w:val="20"/>
          <w:szCs w:val="20"/>
          <w:lang w:val="ru-RU"/>
        </w:rPr>
        <w:t>електромереж</w:t>
      </w:r>
      <w:proofErr w:type="spellEnd"/>
      <w:r w:rsidRPr="008060E0">
        <w:rPr>
          <w:rFonts w:ascii="Times New Roman" w:hAnsi="Times New Roman" w:cs="Times New Roman"/>
          <w:sz w:val="20"/>
          <w:szCs w:val="20"/>
          <w:lang w:val="ru-RU"/>
        </w:rPr>
        <w:t xml:space="preserve">, </w:t>
      </w:r>
      <w:proofErr w:type="spellStart"/>
      <w:r w:rsidRPr="008060E0">
        <w:rPr>
          <w:rFonts w:ascii="Times New Roman" w:hAnsi="Times New Roman" w:cs="Times New Roman"/>
          <w:sz w:val="20"/>
          <w:szCs w:val="20"/>
          <w:lang w:val="ru-RU"/>
        </w:rPr>
        <w:t>управління</w:t>
      </w:r>
      <w:proofErr w:type="spellEnd"/>
      <w:r w:rsidRPr="008060E0">
        <w:rPr>
          <w:rFonts w:ascii="Times New Roman" w:hAnsi="Times New Roman" w:cs="Times New Roman"/>
          <w:sz w:val="20"/>
          <w:szCs w:val="20"/>
          <w:lang w:val="ru-RU"/>
        </w:rPr>
        <w:t xml:space="preserve"> попитом та систем режимного </w:t>
      </w:r>
      <w:proofErr w:type="spellStart"/>
      <w:r w:rsidRPr="008060E0">
        <w:rPr>
          <w:rFonts w:ascii="Times New Roman" w:hAnsi="Times New Roman" w:cs="Times New Roman"/>
          <w:sz w:val="20"/>
          <w:szCs w:val="20"/>
          <w:lang w:val="ru-RU"/>
        </w:rPr>
        <w:t>управління</w:t>
      </w:r>
      <w:proofErr w:type="spellEnd"/>
      <w:r w:rsidRPr="008060E0">
        <w:rPr>
          <w:rFonts w:ascii="Times New Roman" w:hAnsi="Times New Roman" w:cs="Times New Roman"/>
          <w:sz w:val="20"/>
          <w:szCs w:val="20"/>
          <w:lang w:val="ru-RU"/>
        </w:rPr>
        <w:t xml:space="preserve"> в </w:t>
      </w:r>
      <w:proofErr w:type="spellStart"/>
      <w:r w:rsidRPr="008060E0">
        <w:rPr>
          <w:rFonts w:ascii="Times New Roman" w:hAnsi="Times New Roman" w:cs="Times New Roman"/>
          <w:sz w:val="20"/>
          <w:szCs w:val="20"/>
          <w:lang w:val="ru-RU"/>
        </w:rPr>
        <w:t>умовах</w:t>
      </w:r>
      <w:proofErr w:type="spellEnd"/>
      <w:r w:rsidRPr="008060E0">
        <w:rPr>
          <w:rFonts w:ascii="Times New Roman" w:hAnsi="Times New Roman" w:cs="Times New Roman"/>
          <w:sz w:val="20"/>
          <w:szCs w:val="20"/>
          <w:lang w:val="ru-RU"/>
        </w:rPr>
        <w:t xml:space="preserve"> </w:t>
      </w:r>
      <w:proofErr w:type="spellStart"/>
      <w:r w:rsidRPr="008060E0">
        <w:rPr>
          <w:rFonts w:ascii="Times New Roman" w:hAnsi="Times New Roman" w:cs="Times New Roman"/>
          <w:sz w:val="20"/>
          <w:szCs w:val="20"/>
          <w:lang w:val="ru-RU"/>
        </w:rPr>
        <w:t>розвитку</w:t>
      </w:r>
      <w:proofErr w:type="spellEnd"/>
      <w:r w:rsidRPr="008060E0">
        <w:rPr>
          <w:rFonts w:ascii="Times New Roman" w:hAnsi="Times New Roman" w:cs="Times New Roman"/>
          <w:sz w:val="20"/>
          <w:szCs w:val="20"/>
          <w:lang w:val="ru-RU"/>
        </w:rPr>
        <w:t xml:space="preserve"> </w:t>
      </w:r>
      <w:proofErr w:type="spellStart"/>
      <w:r w:rsidRPr="008060E0">
        <w:rPr>
          <w:rFonts w:ascii="Times New Roman" w:hAnsi="Times New Roman" w:cs="Times New Roman"/>
          <w:sz w:val="20"/>
          <w:szCs w:val="20"/>
          <w:lang w:val="ru-RU"/>
        </w:rPr>
        <w:t>поновлюваних</w:t>
      </w:r>
      <w:proofErr w:type="spellEnd"/>
      <w:r w:rsidRPr="008060E0">
        <w:rPr>
          <w:rFonts w:ascii="Times New Roman" w:hAnsi="Times New Roman" w:cs="Times New Roman"/>
          <w:sz w:val="20"/>
          <w:szCs w:val="20"/>
          <w:lang w:val="ru-RU"/>
        </w:rPr>
        <w:t xml:space="preserve"> </w:t>
      </w:r>
      <w:proofErr w:type="spellStart"/>
      <w:r w:rsidRPr="008060E0">
        <w:rPr>
          <w:rFonts w:ascii="Times New Roman" w:hAnsi="Times New Roman" w:cs="Times New Roman"/>
          <w:sz w:val="20"/>
          <w:szCs w:val="20"/>
          <w:lang w:val="ru-RU"/>
        </w:rPr>
        <w:t>джерел</w:t>
      </w:r>
      <w:proofErr w:type="spellEnd"/>
      <w:r w:rsidRPr="008060E0">
        <w:rPr>
          <w:rFonts w:ascii="Times New Roman" w:hAnsi="Times New Roman" w:cs="Times New Roman"/>
          <w:sz w:val="20"/>
          <w:szCs w:val="20"/>
          <w:lang w:val="ru-RU"/>
        </w:rPr>
        <w:t xml:space="preserve"> </w:t>
      </w:r>
      <w:proofErr w:type="spellStart"/>
      <w:r w:rsidRPr="008060E0">
        <w:rPr>
          <w:rFonts w:ascii="Times New Roman" w:hAnsi="Times New Roman" w:cs="Times New Roman"/>
          <w:sz w:val="20"/>
          <w:szCs w:val="20"/>
          <w:lang w:val="ru-RU"/>
        </w:rPr>
        <w:t>енергії</w:t>
      </w:r>
      <w:proofErr w:type="spellEnd"/>
      <w:r w:rsidRPr="008060E0">
        <w:rPr>
          <w:rFonts w:ascii="Times New Roman" w:hAnsi="Times New Roman" w:cs="Times New Roman"/>
          <w:sz w:val="20"/>
          <w:szCs w:val="20"/>
          <w:lang w:val="ru-RU"/>
        </w:rPr>
        <w:t xml:space="preserve"> у </w:t>
      </w:r>
      <w:proofErr w:type="spellStart"/>
      <w:r w:rsidRPr="008060E0">
        <w:rPr>
          <w:rFonts w:ascii="Times New Roman" w:hAnsi="Times New Roman" w:cs="Times New Roman"/>
          <w:sz w:val="20"/>
          <w:szCs w:val="20"/>
          <w:lang w:val="ru-RU"/>
        </w:rPr>
        <w:t>зарубіжній</w:t>
      </w:r>
      <w:proofErr w:type="spellEnd"/>
      <w:r w:rsidRPr="008060E0">
        <w:rPr>
          <w:rFonts w:ascii="Times New Roman" w:hAnsi="Times New Roman" w:cs="Times New Roman"/>
          <w:sz w:val="20"/>
          <w:szCs w:val="20"/>
          <w:lang w:val="ru-RU"/>
        </w:rPr>
        <w:t xml:space="preserve"> </w:t>
      </w:r>
      <w:proofErr w:type="spellStart"/>
      <w:r w:rsidRPr="008060E0">
        <w:rPr>
          <w:rFonts w:ascii="Times New Roman" w:hAnsi="Times New Roman" w:cs="Times New Roman"/>
          <w:sz w:val="20"/>
          <w:szCs w:val="20"/>
          <w:lang w:val="ru-RU"/>
        </w:rPr>
        <w:t>енергетичній</w:t>
      </w:r>
      <w:proofErr w:type="spellEnd"/>
      <w:r w:rsidRPr="008060E0">
        <w:rPr>
          <w:rFonts w:ascii="Times New Roman" w:hAnsi="Times New Roman" w:cs="Times New Roman"/>
          <w:sz w:val="20"/>
          <w:szCs w:val="20"/>
          <w:lang w:val="ru-RU"/>
        </w:rPr>
        <w:t xml:space="preserve"> </w:t>
      </w:r>
      <w:proofErr w:type="spellStart"/>
      <w:r w:rsidRPr="008060E0">
        <w:rPr>
          <w:rFonts w:ascii="Times New Roman" w:hAnsi="Times New Roman" w:cs="Times New Roman"/>
          <w:sz w:val="20"/>
          <w:szCs w:val="20"/>
          <w:lang w:val="ru-RU"/>
        </w:rPr>
        <w:t>сфері</w:t>
      </w:r>
      <w:proofErr w:type="spellEnd"/>
      <w:r w:rsidRPr="008060E0">
        <w:rPr>
          <w:rFonts w:ascii="Times New Roman" w:hAnsi="Times New Roman" w:cs="Times New Roman"/>
          <w:sz w:val="20"/>
          <w:szCs w:val="20"/>
          <w:lang w:val="ru-RU"/>
        </w:rPr>
        <w:t xml:space="preserve"> [</w:t>
      </w:r>
      <w:proofErr w:type="spellStart"/>
      <w:r w:rsidRPr="008060E0">
        <w:rPr>
          <w:rFonts w:ascii="Times New Roman" w:hAnsi="Times New Roman" w:cs="Times New Roman"/>
          <w:sz w:val="20"/>
          <w:szCs w:val="20"/>
          <w:lang w:val="ru-RU"/>
        </w:rPr>
        <w:t>Електронний</w:t>
      </w:r>
      <w:proofErr w:type="spellEnd"/>
      <w:r w:rsidRPr="008060E0">
        <w:rPr>
          <w:rFonts w:ascii="Times New Roman" w:hAnsi="Times New Roman" w:cs="Times New Roman"/>
          <w:sz w:val="20"/>
          <w:szCs w:val="20"/>
          <w:lang w:val="ru-RU"/>
        </w:rPr>
        <w:t xml:space="preserve"> ресурс] // «</w:t>
      </w:r>
      <w:r w:rsidR="00BC7926" w:rsidRPr="008060E0">
        <w:rPr>
          <w:rFonts w:ascii="Times New Roman" w:hAnsi="Times New Roman" w:cs="Times New Roman"/>
          <w:sz w:val="20"/>
          <w:szCs w:val="20"/>
        </w:rPr>
        <w:t xml:space="preserve">Науково-проектний центр розвитку об’єднаної енергетичної системи України» </w:t>
      </w:r>
      <w:r w:rsidR="00BC7926" w:rsidRPr="008060E0">
        <w:rPr>
          <w:rFonts w:ascii="Times New Roman" w:hAnsi="Times New Roman" w:cs="Times New Roman"/>
          <w:sz w:val="20"/>
          <w:szCs w:val="20"/>
          <w:lang w:val="ru-RU"/>
        </w:rPr>
        <w:t xml:space="preserve">державного </w:t>
      </w:r>
      <w:proofErr w:type="spellStart"/>
      <w:proofErr w:type="gramStart"/>
      <w:r w:rsidR="00BC7926" w:rsidRPr="008060E0">
        <w:rPr>
          <w:rFonts w:ascii="Times New Roman" w:hAnsi="Times New Roman" w:cs="Times New Roman"/>
          <w:sz w:val="20"/>
          <w:szCs w:val="20"/>
          <w:lang w:val="ru-RU"/>
        </w:rPr>
        <w:t>п</w:t>
      </w:r>
      <w:proofErr w:type="gramEnd"/>
      <w:r w:rsidR="00BC7926" w:rsidRPr="008060E0">
        <w:rPr>
          <w:rFonts w:ascii="Times New Roman" w:hAnsi="Times New Roman" w:cs="Times New Roman"/>
          <w:sz w:val="20"/>
          <w:szCs w:val="20"/>
          <w:lang w:val="ru-RU"/>
        </w:rPr>
        <w:t>ідприємства</w:t>
      </w:r>
      <w:proofErr w:type="spellEnd"/>
      <w:r w:rsidR="00BC7926" w:rsidRPr="008060E0">
        <w:rPr>
          <w:rFonts w:ascii="Times New Roman" w:hAnsi="Times New Roman" w:cs="Times New Roman"/>
          <w:sz w:val="20"/>
          <w:szCs w:val="20"/>
          <w:lang w:val="ru-RU"/>
        </w:rPr>
        <w:t xml:space="preserve"> «</w:t>
      </w:r>
      <w:proofErr w:type="spellStart"/>
      <w:r w:rsidR="00BC7926" w:rsidRPr="008060E0">
        <w:rPr>
          <w:rFonts w:ascii="Times New Roman" w:hAnsi="Times New Roman" w:cs="Times New Roman"/>
          <w:sz w:val="20"/>
          <w:szCs w:val="20"/>
          <w:lang w:val="ru-RU"/>
        </w:rPr>
        <w:t>Національна</w:t>
      </w:r>
      <w:proofErr w:type="spellEnd"/>
      <w:r w:rsidR="00BC7926" w:rsidRPr="008060E0">
        <w:rPr>
          <w:rFonts w:ascii="Times New Roman" w:hAnsi="Times New Roman" w:cs="Times New Roman"/>
          <w:sz w:val="20"/>
          <w:szCs w:val="20"/>
          <w:lang w:val="ru-RU"/>
        </w:rPr>
        <w:t xml:space="preserve"> </w:t>
      </w:r>
      <w:proofErr w:type="spellStart"/>
      <w:r w:rsidR="00BC7926" w:rsidRPr="008060E0">
        <w:rPr>
          <w:rFonts w:ascii="Times New Roman" w:hAnsi="Times New Roman" w:cs="Times New Roman"/>
          <w:sz w:val="20"/>
          <w:szCs w:val="20"/>
          <w:lang w:val="ru-RU"/>
        </w:rPr>
        <w:t>енергетична</w:t>
      </w:r>
      <w:proofErr w:type="spellEnd"/>
      <w:r w:rsidR="00BC7926" w:rsidRPr="008060E0">
        <w:rPr>
          <w:rFonts w:ascii="Times New Roman" w:hAnsi="Times New Roman" w:cs="Times New Roman"/>
          <w:sz w:val="20"/>
          <w:szCs w:val="20"/>
          <w:lang w:val="ru-RU"/>
        </w:rPr>
        <w:t xml:space="preserve"> </w:t>
      </w:r>
      <w:proofErr w:type="spellStart"/>
      <w:r w:rsidR="00BC7926" w:rsidRPr="008060E0">
        <w:rPr>
          <w:rFonts w:ascii="Times New Roman" w:hAnsi="Times New Roman" w:cs="Times New Roman"/>
          <w:sz w:val="20"/>
          <w:szCs w:val="20"/>
          <w:lang w:val="ru-RU"/>
        </w:rPr>
        <w:t>компанія</w:t>
      </w:r>
      <w:proofErr w:type="spellEnd"/>
      <w:r w:rsidR="00BC7926" w:rsidRPr="008060E0">
        <w:rPr>
          <w:rFonts w:ascii="Times New Roman" w:hAnsi="Times New Roman" w:cs="Times New Roman"/>
          <w:sz w:val="20"/>
          <w:szCs w:val="20"/>
          <w:lang w:val="ru-RU"/>
        </w:rPr>
        <w:t xml:space="preserve"> «</w:t>
      </w:r>
      <w:proofErr w:type="spellStart"/>
      <w:r w:rsidR="00BC7926" w:rsidRPr="008060E0">
        <w:rPr>
          <w:rFonts w:ascii="Times New Roman" w:hAnsi="Times New Roman" w:cs="Times New Roman"/>
          <w:sz w:val="20"/>
          <w:szCs w:val="20"/>
          <w:lang w:val="ru-RU"/>
        </w:rPr>
        <w:t>Укренерго</w:t>
      </w:r>
      <w:proofErr w:type="spellEnd"/>
      <w:r w:rsidR="00BC7926" w:rsidRPr="008060E0">
        <w:rPr>
          <w:rFonts w:ascii="Times New Roman" w:hAnsi="Times New Roman" w:cs="Times New Roman"/>
          <w:sz w:val="20"/>
          <w:szCs w:val="20"/>
          <w:lang w:val="ru-RU"/>
        </w:rPr>
        <w:t>»</w:t>
      </w:r>
      <w:r w:rsidRPr="008060E0">
        <w:rPr>
          <w:rFonts w:ascii="Times New Roman" w:hAnsi="Times New Roman" w:cs="Times New Roman"/>
          <w:sz w:val="20"/>
          <w:szCs w:val="20"/>
          <w:lang w:val="ru-RU"/>
        </w:rPr>
        <w:t xml:space="preserve">. – 2018. – Режим доступу </w:t>
      </w:r>
      <w:proofErr w:type="gramStart"/>
      <w:r w:rsidRPr="008060E0">
        <w:rPr>
          <w:rFonts w:ascii="Times New Roman" w:hAnsi="Times New Roman" w:cs="Times New Roman"/>
          <w:sz w:val="20"/>
          <w:szCs w:val="20"/>
          <w:lang w:val="ru-RU"/>
        </w:rPr>
        <w:t>до</w:t>
      </w:r>
      <w:proofErr w:type="gramEnd"/>
      <w:r w:rsidRPr="008060E0">
        <w:rPr>
          <w:rFonts w:ascii="Times New Roman" w:hAnsi="Times New Roman" w:cs="Times New Roman"/>
          <w:sz w:val="20"/>
          <w:szCs w:val="20"/>
          <w:lang w:val="ru-RU"/>
        </w:rPr>
        <w:t xml:space="preserve"> ресурсу: https://ua.energy/wp-content/uploads/2018/04/1.-Stan-rozvytku-smart-grid.pdf.</w:t>
      </w:r>
    </w:p>
    <w:p w:rsidR="00863F96" w:rsidRPr="008060E0" w:rsidRDefault="00863F96" w:rsidP="00BC7926">
      <w:pPr>
        <w:spacing w:line="240" w:lineRule="auto"/>
        <w:ind w:firstLine="0"/>
        <w:rPr>
          <w:rFonts w:ascii="Times New Roman" w:hAnsi="Times New Roman" w:cs="Times New Roman"/>
          <w:sz w:val="20"/>
          <w:szCs w:val="20"/>
          <w:lang w:val="ru-RU"/>
        </w:rPr>
      </w:pPr>
      <w:r w:rsidRPr="008060E0">
        <w:rPr>
          <w:rFonts w:ascii="Times New Roman" w:hAnsi="Times New Roman" w:cs="Times New Roman"/>
          <w:sz w:val="20"/>
          <w:szCs w:val="20"/>
          <w:lang w:val="ru-RU"/>
        </w:rPr>
        <w:t>4.</w:t>
      </w:r>
      <w:r w:rsidR="000B31B1" w:rsidRPr="008060E0">
        <w:rPr>
          <w:rFonts w:ascii="Times New Roman" w:hAnsi="Times New Roman" w:cs="Times New Roman"/>
          <w:sz w:val="20"/>
          <w:szCs w:val="20"/>
        </w:rPr>
        <w:t xml:space="preserve"> </w:t>
      </w:r>
      <w:proofErr w:type="spellStart"/>
      <w:r w:rsidR="000B31B1" w:rsidRPr="008060E0">
        <w:rPr>
          <w:rFonts w:ascii="Times New Roman" w:hAnsi="Times New Roman" w:cs="Times New Roman"/>
          <w:sz w:val="20"/>
          <w:szCs w:val="20"/>
          <w:lang w:val="ru-RU"/>
        </w:rPr>
        <w:t>Розвиток</w:t>
      </w:r>
      <w:proofErr w:type="spellEnd"/>
      <w:r w:rsidR="000B31B1" w:rsidRPr="008060E0">
        <w:rPr>
          <w:rFonts w:ascii="Times New Roman" w:hAnsi="Times New Roman" w:cs="Times New Roman"/>
          <w:sz w:val="20"/>
          <w:szCs w:val="20"/>
          <w:lang w:val="ru-RU"/>
        </w:rPr>
        <w:t xml:space="preserve"> </w:t>
      </w:r>
      <w:proofErr w:type="spellStart"/>
      <w:r w:rsidR="000B31B1" w:rsidRPr="008060E0">
        <w:rPr>
          <w:rFonts w:ascii="Times New Roman" w:hAnsi="Times New Roman" w:cs="Times New Roman"/>
          <w:sz w:val="20"/>
          <w:szCs w:val="20"/>
          <w:lang w:val="ru-RU"/>
        </w:rPr>
        <w:t>відновлюваних</w:t>
      </w:r>
      <w:proofErr w:type="spellEnd"/>
      <w:r w:rsidR="000B31B1" w:rsidRPr="008060E0">
        <w:rPr>
          <w:rFonts w:ascii="Times New Roman" w:hAnsi="Times New Roman" w:cs="Times New Roman"/>
          <w:sz w:val="20"/>
          <w:szCs w:val="20"/>
          <w:lang w:val="ru-RU"/>
        </w:rPr>
        <w:t xml:space="preserve"> </w:t>
      </w:r>
      <w:proofErr w:type="spellStart"/>
      <w:r w:rsidR="000B31B1" w:rsidRPr="008060E0">
        <w:rPr>
          <w:rFonts w:ascii="Times New Roman" w:hAnsi="Times New Roman" w:cs="Times New Roman"/>
          <w:sz w:val="20"/>
          <w:szCs w:val="20"/>
          <w:lang w:val="ru-RU"/>
        </w:rPr>
        <w:t>джерел</w:t>
      </w:r>
      <w:proofErr w:type="spellEnd"/>
      <w:r w:rsidR="000B31B1" w:rsidRPr="008060E0">
        <w:rPr>
          <w:rFonts w:ascii="Times New Roman" w:hAnsi="Times New Roman" w:cs="Times New Roman"/>
          <w:sz w:val="20"/>
          <w:szCs w:val="20"/>
          <w:lang w:val="ru-RU"/>
        </w:rPr>
        <w:t xml:space="preserve"> </w:t>
      </w:r>
      <w:proofErr w:type="spellStart"/>
      <w:r w:rsidR="000B31B1" w:rsidRPr="008060E0">
        <w:rPr>
          <w:rFonts w:ascii="Times New Roman" w:hAnsi="Times New Roman" w:cs="Times New Roman"/>
          <w:sz w:val="20"/>
          <w:szCs w:val="20"/>
          <w:lang w:val="ru-RU"/>
        </w:rPr>
        <w:t>енергії</w:t>
      </w:r>
      <w:proofErr w:type="spellEnd"/>
      <w:r w:rsidR="000B31B1" w:rsidRPr="008060E0">
        <w:rPr>
          <w:rFonts w:ascii="Times New Roman" w:hAnsi="Times New Roman" w:cs="Times New Roman"/>
          <w:sz w:val="20"/>
          <w:szCs w:val="20"/>
          <w:lang w:val="ru-RU"/>
        </w:rPr>
        <w:t xml:space="preserve"> в </w:t>
      </w:r>
      <w:proofErr w:type="spellStart"/>
      <w:r w:rsidR="000B31B1" w:rsidRPr="008060E0">
        <w:rPr>
          <w:rFonts w:ascii="Times New Roman" w:hAnsi="Times New Roman" w:cs="Times New Roman"/>
          <w:sz w:val="20"/>
          <w:szCs w:val="20"/>
          <w:lang w:val="ru-RU"/>
        </w:rPr>
        <w:t>Україні</w:t>
      </w:r>
      <w:proofErr w:type="spellEnd"/>
      <w:r w:rsidR="000B31B1" w:rsidRPr="008060E0">
        <w:rPr>
          <w:rFonts w:ascii="Times New Roman" w:hAnsi="Times New Roman" w:cs="Times New Roman"/>
          <w:sz w:val="20"/>
          <w:szCs w:val="20"/>
          <w:lang w:val="ru-RU"/>
        </w:rPr>
        <w:t xml:space="preserve"> – </w:t>
      </w:r>
      <w:proofErr w:type="spellStart"/>
      <w:r w:rsidR="000B31B1" w:rsidRPr="008060E0">
        <w:rPr>
          <w:rFonts w:ascii="Times New Roman" w:hAnsi="Times New Roman" w:cs="Times New Roman"/>
          <w:sz w:val="20"/>
          <w:szCs w:val="20"/>
          <w:lang w:val="ru-RU"/>
        </w:rPr>
        <w:t>Мінрегіон</w:t>
      </w:r>
      <w:proofErr w:type="spellEnd"/>
      <w:r w:rsidR="000B31B1" w:rsidRPr="008060E0">
        <w:rPr>
          <w:rFonts w:ascii="Times New Roman" w:hAnsi="Times New Roman" w:cs="Times New Roman"/>
          <w:sz w:val="20"/>
          <w:szCs w:val="20"/>
          <w:lang w:val="ru-RU"/>
        </w:rPr>
        <w:t xml:space="preserve">, </w:t>
      </w:r>
      <w:proofErr w:type="spellStart"/>
      <w:r w:rsidR="000B31B1" w:rsidRPr="008060E0">
        <w:rPr>
          <w:rFonts w:ascii="Times New Roman" w:hAnsi="Times New Roman" w:cs="Times New Roman"/>
          <w:sz w:val="20"/>
          <w:szCs w:val="20"/>
          <w:lang w:val="ru-RU"/>
        </w:rPr>
        <w:t>SlovakAID</w:t>
      </w:r>
      <w:proofErr w:type="spellEnd"/>
      <w:r w:rsidR="000B31B1" w:rsidRPr="008060E0">
        <w:rPr>
          <w:rFonts w:ascii="Times New Roman" w:hAnsi="Times New Roman" w:cs="Times New Roman"/>
          <w:sz w:val="20"/>
          <w:szCs w:val="20"/>
          <w:lang w:val="ru-RU"/>
        </w:rPr>
        <w:t xml:space="preserve">, UNDP </w:t>
      </w:r>
      <w:proofErr w:type="spellStart"/>
      <w:r w:rsidR="000B31B1" w:rsidRPr="008060E0">
        <w:rPr>
          <w:rFonts w:ascii="Times New Roman" w:hAnsi="Times New Roman" w:cs="Times New Roman"/>
          <w:sz w:val="20"/>
          <w:szCs w:val="20"/>
          <w:lang w:val="ru-RU"/>
        </w:rPr>
        <w:t>Ukraine</w:t>
      </w:r>
      <w:proofErr w:type="spellEnd"/>
      <w:r w:rsidR="000B31B1" w:rsidRPr="008060E0">
        <w:rPr>
          <w:rFonts w:ascii="Times New Roman" w:hAnsi="Times New Roman" w:cs="Times New Roman"/>
          <w:sz w:val="20"/>
          <w:szCs w:val="20"/>
          <w:lang w:val="ru-RU"/>
        </w:rPr>
        <w:t xml:space="preserve"> – 2017. – [</w:t>
      </w:r>
      <w:proofErr w:type="spellStart"/>
      <w:r w:rsidR="000B31B1" w:rsidRPr="008060E0">
        <w:rPr>
          <w:rFonts w:ascii="Times New Roman" w:hAnsi="Times New Roman" w:cs="Times New Roman"/>
          <w:sz w:val="20"/>
          <w:szCs w:val="20"/>
          <w:lang w:val="ru-RU"/>
        </w:rPr>
        <w:t>Електронний</w:t>
      </w:r>
      <w:proofErr w:type="spellEnd"/>
      <w:r w:rsidR="000B31B1" w:rsidRPr="008060E0">
        <w:rPr>
          <w:rFonts w:ascii="Times New Roman" w:hAnsi="Times New Roman" w:cs="Times New Roman"/>
          <w:sz w:val="20"/>
          <w:szCs w:val="20"/>
          <w:lang w:val="ru-RU"/>
        </w:rPr>
        <w:t xml:space="preserve"> рес</w:t>
      </w:r>
      <w:r w:rsidR="00BC7926" w:rsidRPr="008060E0">
        <w:rPr>
          <w:rFonts w:ascii="Times New Roman" w:hAnsi="Times New Roman" w:cs="Times New Roman"/>
          <w:sz w:val="20"/>
          <w:szCs w:val="20"/>
          <w:lang w:val="ru-RU"/>
        </w:rPr>
        <w:t xml:space="preserve">урс]. Режим доступу </w:t>
      </w:r>
      <w:proofErr w:type="gramStart"/>
      <w:r w:rsidR="00BC7926" w:rsidRPr="008060E0">
        <w:rPr>
          <w:rFonts w:ascii="Times New Roman" w:hAnsi="Times New Roman" w:cs="Times New Roman"/>
          <w:sz w:val="20"/>
          <w:szCs w:val="20"/>
          <w:lang w:val="ru-RU"/>
        </w:rPr>
        <w:t>до</w:t>
      </w:r>
      <w:proofErr w:type="gramEnd"/>
      <w:r w:rsidR="00BC7926" w:rsidRPr="008060E0">
        <w:rPr>
          <w:rFonts w:ascii="Times New Roman" w:hAnsi="Times New Roman" w:cs="Times New Roman"/>
          <w:sz w:val="20"/>
          <w:szCs w:val="20"/>
          <w:lang w:val="ru-RU"/>
        </w:rPr>
        <w:t xml:space="preserve"> ресурсу: </w:t>
      </w:r>
      <w:r w:rsidR="000B31B1" w:rsidRPr="008060E0">
        <w:rPr>
          <w:rFonts w:ascii="Times New Roman" w:hAnsi="Times New Roman" w:cs="Times New Roman"/>
          <w:sz w:val="20"/>
          <w:szCs w:val="20"/>
          <w:lang w:val="ru-RU"/>
        </w:rPr>
        <w:t>http://energymagazine.com.ua/wpcontent/uploads/2017/03/Rozvitok-VDE-v-Ukrai-ni.pdf.</w:t>
      </w:r>
    </w:p>
    <w:p w:rsidR="000B31B1" w:rsidRPr="008060E0" w:rsidRDefault="000B31B1" w:rsidP="00BC7926">
      <w:pPr>
        <w:spacing w:line="240" w:lineRule="auto"/>
        <w:ind w:firstLine="0"/>
        <w:rPr>
          <w:rFonts w:ascii="Times New Roman" w:hAnsi="Times New Roman" w:cs="Times New Roman"/>
          <w:color w:val="000000"/>
          <w:sz w:val="20"/>
          <w:szCs w:val="20"/>
          <w:shd w:val="clear" w:color="auto" w:fill="FFFFFF"/>
        </w:rPr>
      </w:pPr>
      <w:r w:rsidRPr="008060E0">
        <w:rPr>
          <w:rFonts w:ascii="Times New Roman" w:hAnsi="Times New Roman" w:cs="Times New Roman"/>
          <w:sz w:val="20"/>
          <w:szCs w:val="20"/>
          <w:lang w:val="ru-RU"/>
        </w:rPr>
        <w:t>5.</w:t>
      </w:r>
      <w:r w:rsidR="00BC7926" w:rsidRPr="008060E0">
        <w:rPr>
          <w:rFonts w:ascii="Times New Roman" w:hAnsi="Times New Roman" w:cs="Times New Roman"/>
          <w:sz w:val="20"/>
          <w:szCs w:val="20"/>
          <w:lang w:val="ru-RU"/>
        </w:rPr>
        <w:t xml:space="preserve"> Роль і </w:t>
      </w:r>
      <w:proofErr w:type="spellStart"/>
      <w:r w:rsidR="00BC7926" w:rsidRPr="008060E0">
        <w:rPr>
          <w:rFonts w:ascii="Times New Roman" w:hAnsi="Times New Roman" w:cs="Times New Roman"/>
          <w:sz w:val="20"/>
          <w:szCs w:val="20"/>
          <w:lang w:val="ru-RU"/>
        </w:rPr>
        <w:t>місце</w:t>
      </w:r>
      <w:proofErr w:type="spellEnd"/>
      <w:r w:rsidR="00BC7926" w:rsidRPr="008060E0">
        <w:rPr>
          <w:rFonts w:ascii="Times New Roman" w:hAnsi="Times New Roman" w:cs="Times New Roman"/>
          <w:sz w:val="20"/>
          <w:szCs w:val="20"/>
          <w:lang w:val="ru-RU"/>
        </w:rPr>
        <w:t xml:space="preserve"> </w:t>
      </w:r>
      <w:proofErr w:type="spellStart"/>
      <w:r w:rsidR="00BC7926" w:rsidRPr="008060E0">
        <w:rPr>
          <w:rFonts w:ascii="Times New Roman" w:hAnsi="Times New Roman" w:cs="Times New Roman"/>
          <w:sz w:val="20"/>
          <w:szCs w:val="20"/>
          <w:lang w:val="ru-RU"/>
        </w:rPr>
        <w:t>української</w:t>
      </w:r>
      <w:proofErr w:type="spellEnd"/>
      <w:r w:rsidR="00BC7926" w:rsidRPr="008060E0">
        <w:rPr>
          <w:rFonts w:ascii="Times New Roman" w:hAnsi="Times New Roman" w:cs="Times New Roman"/>
          <w:sz w:val="20"/>
          <w:szCs w:val="20"/>
          <w:lang w:val="ru-RU"/>
        </w:rPr>
        <w:t xml:space="preserve"> </w:t>
      </w:r>
      <w:proofErr w:type="spellStart"/>
      <w:r w:rsidR="00BC7926" w:rsidRPr="008060E0">
        <w:rPr>
          <w:rFonts w:ascii="Times New Roman" w:hAnsi="Times New Roman" w:cs="Times New Roman"/>
          <w:sz w:val="20"/>
          <w:szCs w:val="20"/>
          <w:lang w:val="ru-RU"/>
        </w:rPr>
        <w:t>енергетики</w:t>
      </w:r>
      <w:proofErr w:type="spellEnd"/>
      <w:r w:rsidR="00BC7926" w:rsidRPr="008060E0">
        <w:rPr>
          <w:rFonts w:ascii="Times New Roman" w:hAnsi="Times New Roman" w:cs="Times New Roman"/>
          <w:sz w:val="20"/>
          <w:szCs w:val="20"/>
          <w:lang w:val="ru-RU"/>
        </w:rPr>
        <w:t xml:space="preserve"> у </w:t>
      </w:r>
      <w:proofErr w:type="spellStart"/>
      <w:proofErr w:type="gramStart"/>
      <w:r w:rsidR="00BC7926" w:rsidRPr="008060E0">
        <w:rPr>
          <w:rFonts w:ascii="Times New Roman" w:hAnsi="Times New Roman" w:cs="Times New Roman"/>
          <w:sz w:val="20"/>
          <w:szCs w:val="20"/>
          <w:lang w:val="ru-RU"/>
        </w:rPr>
        <w:t>св</w:t>
      </w:r>
      <w:proofErr w:type="gramEnd"/>
      <w:r w:rsidR="00BC7926" w:rsidRPr="008060E0">
        <w:rPr>
          <w:rFonts w:ascii="Times New Roman" w:hAnsi="Times New Roman" w:cs="Times New Roman"/>
          <w:sz w:val="20"/>
          <w:szCs w:val="20"/>
          <w:lang w:val="ru-RU"/>
        </w:rPr>
        <w:t>ітових</w:t>
      </w:r>
      <w:proofErr w:type="spellEnd"/>
      <w:r w:rsidR="00BC7926" w:rsidRPr="008060E0">
        <w:rPr>
          <w:rFonts w:ascii="Times New Roman" w:hAnsi="Times New Roman" w:cs="Times New Roman"/>
          <w:sz w:val="20"/>
          <w:szCs w:val="20"/>
          <w:lang w:val="ru-RU"/>
        </w:rPr>
        <w:t xml:space="preserve"> </w:t>
      </w:r>
      <w:proofErr w:type="spellStart"/>
      <w:r w:rsidR="00BC7926" w:rsidRPr="008060E0">
        <w:rPr>
          <w:rFonts w:ascii="Times New Roman" w:hAnsi="Times New Roman" w:cs="Times New Roman"/>
          <w:sz w:val="20"/>
          <w:szCs w:val="20"/>
          <w:lang w:val="ru-RU"/>
        </w:rPr>
        <w:t>енергетичних</w:t>
      </w:r>
      <w:proofErr w:type="spellEnd"/>
      <w:r w:rsidR="00BC7926" w:rsidRPr="008060E0">
        <w:rPr>
          <w:rFonts w:ascii="Times New Roman" w:hAnsi="Times New Roman" w:cs="Times New Roman"/>
          <w:sz w:val="20"/>
          <w:szCs w:val="20"/>
          <w:lang w:val="ru-RU"/>
        </w:rPr>
        <w:t xml:space="preserve"> </w:t>
      </w:r>
      <w:proofErr w:type="spellStart"/>
      <w:r w:rsidR="00BC7926" w:rsidRPr="008060E0">
        <w:rPr>
          <w:rFonts w:ascii="Times New Roman" w:hAnsi="Times New Roman" w:cs="Times New Roman"/>
          <w:sz w:val="20"/>
          <w:szCs w:val="20"/>
          <w:lang w:val="ru-RU"/>
        </w:rPr>
        <w:t>процесах</w:t>
      </w:r>
      <w:proofErr w:type="spellEnd"/>
      <w:r w:rsidRPr="008060E0">
        <w:rPr>
          <w:rFonts w:ascii="Times New Roman" w:hAnsi="Times New Roman" w:cs="Times New Roman"/>
          <w:color w:val="000000"/>
          <w:sz w:val="20"/>
          <w:szCs w:val="20"/>
          <w:shd w:val="clear" w:color="auto" w:fill="FFFFFF"/>
        </w:rPr>
        <w:t xml:space="preserve"> [</w:t>
      </w:r>
      <w:proofErr w:type="spellStart"/>
      <w:r w:rsidRPr="008060E0">
        <w:rPr>
          <w:rFonts w:ascii="Times New Roman" w:hAnsi="Times New Roman" w:cs="Times New Roman"/>
          <w:sz w:val="20"/>
          <w:szCs w:val="20"/>
          <w:lang w:val="ru-RU"/>
        </w:rPr>
        <w:t>Електронний</w:t>
      </w:r>
      <w:proofErr w:type="spellEnd"/>
      <w:r w:rsidRPr="008060E0">
        <w:rPr>
          <w:rFonts w:ascii="Times New Roman" w:hAnsi="Times New Roman" w:cs="Times New Roman"/>
          <w:sz w:val="20"/>
          <w:szCs w:val="20"/>
          <w:lang w:val="ru-RU"/>
        </w:rPr>
        <w:t xml:space="preserve"> ресурс] // Центр </w:t>
      </w:r>
      <w:proofErr w:type="spellStart"/>
      <w:r w:rsidRPr="008060E0">
        <w:rPr>
          <w:rFonts w:ascii="Times New Roman" w:hAnsi="Times New Roman" w:cs="Times New Roman"/>
          <w:sz w:val="20"/>
          <w:szCs w:val="20"/>
          <w:lang w:val="ru-RU"/>
        </w:rPr>
        <w:t>Разумкова</w:t>
      </w:r>
      <w:proofErr w:type="spellEnd"/>
      <w:r w:rsidRPr="008060E0">
        <w:rPr>
          <w:rFonts w:ascii="Times New Roman" w:hAnsi="Times New Roman" w:cs="Times New Roman"/>
          <w:sz w:val="20"/>
          <w:szCs w:val="20"/>
          <w:lang w:val="ru-RU"/>
        </w:rPr>
        <w:t>. – 20</w:t>
      </w:r>
      <w:r w:rsidR="00BC7926" w:rsidRPr="008060E0">
        <w:rPr>
          <w:rFonts w:ascii="Times New Roman" w:hAnsi="Times New Roman" w:cs="Times New Roman"/>
          <w:sz w:val="20"/>
          <w:szCs w:val="20"/>
          <w:lang w:val="ru-RU"/>
        </w:rPr>
        <w:t xml:space="preserve">18. – Режим доступу </w:t>
      </w:r>
      <w:proofErr w:type="gramStart"/>
      <w:r w:rsidR="00BC7926" w:rsidRPr="008060E0">
        <w:rPr>
          <w:rFonts w:ascii="Times New Roman" w:hAnsi="Times New Roman" w:cs="Times New Roman"/>
          <w:sz w:val="20"/>
          <w:szCs w:val="20"/>
          <w:lang w:val="ru-RU"/>
        </w:rPr>
        <w:t>до</w:t>
      </w:r>
      <w:proofErr w:type="gramEnd"/>
      <w:r w:rsidR="00BC7926" w:rsidRPr="008060E0">
        <w:rPr>
          <w:rFonts w:ascii="Times New Roman" w:hAnsi="Times New Roman" w:cs="Times New Roman"/>
          <w:sz w:val="20"/>
          <w:szCs w:val="20"/>
          <w:lang w:val="ru-RU"/>
        </w:rPr>
        <w:t xml:space="preserve"> ресурсу: </w:t>
      </w:r>
      <w:r w:rsidRPr="008060E0">
        <w:rPr>
          <w:rFonts w:ascii="Times New Roman" w:hAnsi="Times New Roman" w:cs="Times New Roman"/>
          <w:sz w:val="20"/>
          <w:szCs w:val="20"/>
          <w:shd w:val="clear" w:color="auto" w:fill="FFFFFF"/>
        </w:rPr>
        <w:t>http://razumkov.org.ua/uploads/article/2018_ENERGY_PRINT.pdf</w:t>
      </w:r>
      <w:r w:rsidRPr="008060E0">
        <w:rPr>
          <w:rFonts w:ascii="Times New Roman" w:hAnsi="Times New Roman" w:cs="Times New Roman"/>
          <w:color w:val="000000"/>
          <w:sz w:val="20"/>
          <w:szCs w:val="20"/>
          <w:shd w:val="clear" w:color="auto" w:fill="FFFFFF"/>
        </w:rPr>
        <w:t>.</w:t>
      </w:r>
    </w:p>
    <w:p w:rsidR="000B31B1" w:rsidRPr="000B31B1" w:rsidRDefault="000B31B1" w:rsidP="008060E0">
      <w:pPr>
        <w:spacing w:line="240" w:lineRule="auto"/>
        <w:ind w:firstLine="0"/>
        <w:rPr>
          <w:rFonts w:ascii="Times New Roman" w:hAnsi="Times New Roman" w:cs="Times New Roman"/>
          <w:sz w:val="20"/>
          <w:szCs w:val="20"/>
          <w:lang w:val="ru-RU"/>
        </w:rPr>
      </w:pPr>
      <w:r>
        <w:rPr>
          <w:rFonts w:ascii="Times New Roman" w:hAnsi="Times New Roman" w:cs="Times New Roman"/>
          <w:sz w:val="20"/>
          <w:szCs w:val="20"/>
        </w:rPr>
        <w:t xml:space="preserve">6. </w:t>
      </w:r>
      <w:proofErr w:type="spellStart"/>
      <w:r w:rsidRPr="000B31B1">
        <w:rPr>
          <w:rFonts w:ascii="Times New Roman" w:hAnsi="Times New Roman" w:cs="Times New Roman"/>
          <w:sz w:val="20"/>
          <w:szCs w:val="20"/>
          <w:lang w:val="ru-RU"/>
        </w:rPr>
        <w:t>Офіційний</w:t>
      </w:r>
      <w:proofErr w:type="spellEnd"/>
      <w:r w:rsidRPr="000B31B1">
        <w:rPr>
          <w:rFonts w:ascii="Times New Roman" w:hAnsi="Times New Roman" w:cs="Times New Roman"/>
          <w:sz w:val="20"/>
          <w:szCs w:val="20"/>
          <w:lang w:val="ru-RU"/>
        </w:rPr>
        <w:t xml:space="preserve"> сайт </w:t>
      </w:r>
      <w:proofErr w:type="spellStart"/>
      <w:r>
        <w:rPr>
          <w:rFonts w:ascii="Times New Roman" w:hAnsi="Times New Roman" w:cs="Times New Roman"/>
          <w:sz w:val="20"/>
          <w:szCs w:val="20"/>
          <w:lang w:val="ru-RU"/>
        </w:rPr>
        <w:t>Міністерства</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енергетики</w:t>
      </w:r>
      <w:proofErr w:type="spellEnd"/>
      <w:r>
        <w:rPr>
          <w:rFonts w:ascii="Times New Roman" w:hAnsi="Times New Roman" w:cs="Times New Roman"/>
          <w:sz w:val="20"/>
          <w:szCs w:val="20"/>
          <w:lang w:val="ru-RU"/>
        </w:rPr>
        <w:t xml:space="preserve"> та </w:t>
      </w:r>
      <w:proofErr w:type="spellStart"/>
      <w:r>
        <w:rPr>
          <w:rFonts w:ascii="Times New Roman" w:hAnsi="Times New Roman" w:cs="Times New Roman"/>
          <w:sz w:val="20"/>
          <w:szCs w:val="20"/>
          <w:lang w:val="ru-RU"/>
        </w:rPr>
        <w:t>вугільної</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промисловості</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України</w:t>
      </w:r>
      <w:proofErr w:type="spellEnd"/>
      <w:r w:rsidRPr="000B31B1">
        <w:rPr>
          <w:rFonts w:ascii="Times New Roman" w:hAnsi="Times New Roman" w:cs="Times New Roman"/>
          <w:sz w:val="20"/>
          <w:szCs w:val="20"/>
          <w:lang w:val="ru-RU"/>
        </w:rPr>
        <w:t xml:space="preserve"> [</w:t>
      </w:r>
      <w:proofErr w:type="spellStart"/>
      <w:r w:rsidRPr="000B31B1">
        <w:rPr>
          <w:rFonts w:ascii="Times New Roman" w:hAnsi="Times New Roman" w:cs="Times New Roman"/>
          <w:sz w:val="20"/>
          <w:szCs w:val="20"/>
          <w:lang w:val="ru-RU"/>
        </w:rPr>
        <w:t>Електронний</w:t>
      </w:r>
      <w:proofErr w:type="spellEnd"/>
      <w:r w:rsidRPr="000B31B1">
        <w:rPr>
          <w:rFonts w:ascii="Times New Roman" w:hAnsi="Times New Roman" w:cs="Times New Roman"/>
          <w:sz w:val="20"/>
          <w:szCs w:val="20"/>
          <w:lang w:val="ru-RU"/>
        </w:rPr>
        <w:t xml:space="preserve"> ресурс]. – Режим доступу: http://mpe.kmu.gov.ua/</w:t>
      </w:r>
      <w:r>
        <w:rPr>
          <w:rFonts w:ascii="Times New Roman" w:hAnsi="Times New Roman" w:cs="Times New Roman"/>
          <w:sz w:val="20"/>
          <w:szCs w:val="20"/>
          <w:lang w:val="ru-RU"/>
        </w:rPr>
        <w:t>.</w:t>
      </w:r>
    </w:p>
    <w:p w:rsidR="00863F96" w:rsidRPr="008060E0" w:rsidRDefault="000B31B1" w:rsidP="008060E0">
      <w:pPr>
        <w:spacing w:line="240" w:lineRule="auto"/>
        <w:ind w:firstLine="0"/>
        <w:rPr>
          <w:rFonts w:ascii="Times New Roman" w:hAnsi="Times New Roman" w:cs="Times New Roman"/>
          <w:sz w:val="20"/>
          <w:szCs w:val="20"/>
          <w:lang w:val="en-US"/>
        </w:rPr>
      </w:pPr>
      <w:r>
        <w:rPr>
          <w:rFonts w:ascii="Times New Roman" w:hAnsi="Times New Roman" w:cs="Times New Roman"/>
          <w:sz w:val="20"/>
          <w:szCs w:val="20"/>
          <w:lang w:val="en-US"/>
        </w:rPr>
        <w:t>7</w:t>
      </w:r>
      <w:r w:rsidR="00863F96">
        <w:rPr>
          <w:rFonts w:ascii="Times New Roman" w:hAnsi="Times New Roman" w:cs="Times New Roman"/>
          <w:sz w:val="20"/>
          <w:szCs w:val="20"/>
          <w:lang w:val="en-US"/>
        </w:rPr>
        <w:t>.</w:t>
      </w:r>
      <w:r w:rsidR="00863F96" w:rsidRPr="00863F96">
        <w:t xml:space="preserve"> </w:t>
      </w:r>
      <w:proofErr w:type="spellStart"/>
      <w:r w:rsidR="00863F96" w:rsidRPr="00863F96">
        <w:rPr>
          <w:rFonts w:ascii="Times New Roman" w:hAnsi="Times New Roman" w:cs="Times New Roman"/>
          <w:sz w:val="20"/>
          <w:szCs w:val="20"/>
        </w:rPr>
        <w:t>Directive</w:t>
      </w:r>
      <w:proofErr w:type="spellEnd"/>
      <w:r w:rsidR="00863F96" w:rsidRPr="00863F96">
        <w:rPr>
          <w:rFonts w:ascii="Times New Roman" w:hAnsi="Times New Roman" w:cs="Times New Roman"/>
          <w:sz w:val="20"/>
          <w:szCs w:val="20"/>
        </w:rPr>
        <w:t xml:space="preserve"> 2009/28/EC </w:t>
      </w:r>
      <w:proofErr w:type="spellStart"/>
      <w:r w:rsidR="00863F96" w:rsidRPr="00863F96">
        <w:rPr>
          <w:rFonts w:ascii="Times New Roman" w:hAnsi="Times New Roman" w:cs="Times New Roman"/>
          <w:sz w:val="20"/>
          <w:szCs w:val="20"/>
        </w:rPr>
        <w:t>of</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the</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European</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Parliament</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and</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of</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the</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Council</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of</w:t>
      </w:r>
      <w:proofErr w:type="spellEnd"/>
      <w:r w:rsidR="00863F96" w:rsidRPr="00863F96">
        <w:rPr>
          <w:rFonts w:ascii="Times New Roman" w:hAnsi="Times New Roman" w:cs="Times New Roman"/>
          <w:sz w:val="20"/>
          <w:szCs w:val="20"/>
        </w:rPr>
        <w:t xml:space="preserve"> 23 </w:t>
      </w:r>
      <w:proofErr w:type="spellStart"/>
      <w:r w:rsidR="00863F96" w:rsidRPr="00863F96">
        <w:rPr>
          <w:rFonts w:ascii="Times New Roman" w:hAnsi="Times New Roman" w:cs="Times New Roman"/>
          <w:sz w:val="20"/>
          <w:szCs w:val="20"/>
        </w:rPr>
        <w:t>April</w:t>
      </w:r>
      <w:proofErr w:type="spellEnd"/>
      <w:r w:rsidR="00863F96" w:rsidRPr="00863F96">
        <w:rPr>
          <w:rFonts w:ascii="Times New Roman" w:hAnsi="Times New Roman" w:cs="Times New Roman"/>
          <w:sz w:val="20"/>
          <w:szCs w:val="20"/>
        </w:rPr>
        <w:t xml:space="preserve"> 2009 </w:t>
      </w:r>
      <w:proofErr w:type="spellStart"/>
      <w:r w:rsidR="00863F96" w:rsidRPr="00863F96">
        <w:rPr>
          <w:rFonts w:ascii="Times New Roman" w:hAnsi="Times New Roman" w:cs="Times New Roman"/>
          <w:sz w:val="20"/>
          <w:szCs w:val="20"/>
        </w:rPr>
        <w:t>on</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the</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promotion</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of</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the</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use</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of</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energy</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from</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renewable</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sources</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and</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amending</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and</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subsequently</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repealing</w:t>
      </w:r>
      <w:proofErr w:type="spellEnd"/>
      <w:r w:rsidR="00863F96" w:rsidRPr="00863F96">
        <w:rPr>
          <w:rFonts w:ascii="Times New Roman" w:hAnsi="Times New Roman" w:cs="Times New Roman"/>
          <w:sz w:val="20"/>
          <w:szCs w:val="20"/>
        </w:rPr>
        <w:t xml:space="preserve"> </w:t>
      </w:r>
      <w:proofErr w:type="spellStart"/>
      <w:r w:rsidR="00863F96" w:rsidRPr="00863F96">
        <w:rPr>
          <w:rFonts w:ascii="Times New Roman" w:hAnsi="Times New Roman" w:cs="Times New Roman"/>
          <w:sz w:val="20"/>
          <w:szCs w:val="20"/>
        </w:rPr>
        <w:t>Directives</w:t>
      </w:r>
      <w:proofErr w:type="spellEnd"/>
      <w:r w:rsidR="00863F96" w:rsidRPr="00863F96">
        <w:rPr>
          <w:rFonts w:ascii="Times New Roman" w:hAnsi="Times New Roman" w:cs="Times New Roman"/>
          <w:sz w:val="20"/>
          <w:szCs w:val="20"/>
        </w:rPr>
        <w:t xml:space="preserve"> 2001/77/EC </w:t>
      </w:r>
      <w:proofErr w:type="spellStart"/>
      <w:r w:rsidR="00863F96" w:rsidRPr="00863F96">
        <w:rPr>
          <w:rFonts w:ascii="Times New Roman" w:hAnsi="Times New Roman" w:cs="Times New Roman"/>
          <w:sz w:val="20"/>
          <w:szCs w:val="20"/>
        </w:rPr>
        <w:t>and</w:t>
      </w:r>
      <w:proofErr w:type="spellEnd"/>
      <w:r w:rsidR="00863F96" w:rsidRPr="00863F96">
        <w:rPr>
          <w:rFonts w:ascii="Times New Roman" w:hAnsi="Times New Roman" w:cs="Times New Roman"/>
          <w:sz w:val="20"/>
          <w:szCs w:val="20"/>
        </w:rPr>
        <w:t xml:space="preserve"> 2003/30/EC [Електронний ресурс]. – Режим доступу: http://eur-lex.europa.eu/LexUriServ/LexUriServ. </w:t>
      </w:r>
      <w:proofErr w:type="spellStart"/>
      <w:r w:rsidR="00863F96" w:rsidRPr="00863F96">
        <w:rPr>
          <w:rFonts w:ascii="Times New Roman" w:hAnsi="Times New Roman" w:cs="Times New Roman"/>
          <w:sz w:val="20"/>
          <w:szCs w:val="20"/>
        </w:rPr>
        <w:t>do</w:t>
      </w:r>
      <w:proofErr w:type="spellEnd"/>
      <w:r w:rsidR="00863F96" w:rsidRPr="00863F96">
        <w:rPr>
          <w:rFonts w:ascii="Times New Roman" w:hAnsi="Times New Roman" w:cs="Times New Roman"/>
          <w:sz w:val="20"/>
          <w:szCs w:val="20"/>
        </w:rPr>
        <w:t>?</w:t>
      </w:r>
      <w:proofErr w:type="spellStart"/>
      <w:r w:rsidR="00863F96" w:rsidRPr="00863F96">
        <w:rPr>
          <w:rFonts w:ascii="Times New Roman" w:hAnsi="Times New Roman" w:cs="Times New Roman"/>
          <w:sz w:val="20"/>
          <w:szCs w:val="20"/>
        </w:rPr>
        <w:t>uri=CELEX</w:t>
      </w:r>
      <w:proofErr w:type="spellEnd"/>
      <w:r w:rsidR="00863F96" w:rsidRPr="00863F96">
        <w:rPr>
          <w:rFonts w:ascii="Times New Roman" w:hAnsi="Times New Roman" w:cs="Times New Roman"/>
          <w:sz w:val="20"/>
          <w:szCs w:val="20"/>
        </w:rPr>
        <w:t>:32009L0028:EN:NOT</w:t>
      </w:r>
      <w:r w:rsidR="008060E0">
        <w:rPr>
          <w:rFonts w:ascii="Times New Roman" w:hAnsi="Times New Roman" w:cs="Times New Roman"/>
          <w:sz w:val="20"/>
          <w:szCs w:val="20"/>
          <w:lang w:val="en-US"/>
        </w:rPr>
        <w:t>.</w:t>
      </w:r>
    </w:p>
    <w:p w:rsidR="000B31B1" w:rsidRDefault="000B31B1" w:rsidP="008060E0">
      <w:pPr>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8. </w:t>
      </w:r>
      <w:r w:rsidR="008060E0">
        <w:rPr>
          <w:rFonts w:ascii="Times New Roman" w:hAnsi="Times New Roman" w:cs="Times New Roman"/>
          <w:sz w:val="20"/>
          <w:szCs w:val="20"/>
          <w:lang w:val="en-US"/>
        </w:rPr>
        <w:t>Report from the Commission to the European Parliament, the European Economic and Social Committee and the Committee of the Regions</w:t>
      </w:r>
      <w:r w:rsidR="008060E0">
        <w:rPr>
          <w:rFonts w:ascii="Times New Roman" w:hAnsi="Times New Roman" w:cs="Times New Roman"/>
          <w:sz w:val="20"/>
          <w:szCs w:val="20"/>
        </w:rPr>
        <w:t xml:space="preserve">. </w:t>
      </w:r>
      <w:proofErr w:type="spellStart"/>
      <w:r w:rsidRPr="000B31B1">
        <w:rPr>
          <w:rFonts w:ascii="Times New Roman" w:hAnsi="Times New Roman" w:cs="Times New Roman"/>
          <w:sz w:val="20"/>
          <w:szCs w:val="20"/>
        </w:rPr>
        <w:t>Renewable</w:t>
      </w:r>
      <w:proofErr w:type="spellEnd"/>
      <w:r w:rsidRPr="000B31B1">
        <w:rPr>
          <w:rFonts w:ascii="Times New Roman" w:hAnsi="Times New Roman" w:cs="Times New Roman"/>
          <w:sz w:val="20"/>
          <w:szCs w:val="20"/>
        </w:rPr>
        <w:t xml:space="preserve"> </w:t>
      </w:r>
      <w:proofErr w:type="spellStart"/>
      <w:r w:rsidRPr="000B31B1">
        <w:rPr>
          <w:rFonts w:ascii="Times New Roman" w:hAnsi="Times New Roman" w:cs="Times New Roman"/>
          <w:sz w:val="20"/>
          <w:szCs w:val="20"/>
        </w:rPr>
        <w:t>en</w:t>
      </w:r>
      <w:r>
        <w:rPr>
          <w:rFonts w:ascii="Times New Roman" w:hAnsi="Times New Roman" w:cs="Times New Roman"/>
          <w:sz w:val="20"/>
          <w:szCs w:val="20"/>
        </w:rPr>
        <w:t>ergy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progress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w:t>
      </w:r>
      <w:proofErr w:type="spellEnd"/>
      <w:r>
        <w:rPr>
          <w:rFonts w:ascii="Times New Roman" w:hAnsi="Times New Roman" w:cs="Times New Roman"/>
          <w:sz w:val="20"/>
          <w:szCs w:val="20"/>
        </w:rPr>
        <w:t xml:space="preserve">. – 2017. </w:t>
      </w:r>
      <w:r w:rsidRPr="000B31B1">
        <w:rPr>
          <w:rFonts w:ascii="Times New Roman" w:hAnsi="Times New Roman" w:cs="Times New Roman"/>
          <w:sz w:val="20"/>
          <w:szCs w:val="20"/>
        </w:rPr>
        <w:t xml:space="preserve">[Електронний ресурс]. – Режим доступу: http://eur-lex.europa.eu/ </w:t>
      </w:r>
      <w:proofErr w:type="spellStart"/>
      <w:r w:rsidRPr="000B31B1">
        <w:rPr>
          <w:rFonts w:ascii="Times New Roman" w:hAnsi="Times New Roman" w:cs="Times New Roman"/>
          <w:sz w:val="20"/>
          <w:szCs w:val="20"/>
        </w:rPr>
        <w:t>LexUriServ</w:t>
      </w:r>
      <w:proofErr w:type="spellEnd"/>
      <w:r w:rsidRPr="000B31B1">
        <w:rPr>
          <w:rFonts w:ascii="Times New Roman" w:hAnsi="Times New Roman" w:cs="Times New Roman"/>
          <w:sz w:val="20"/>
          <w:szCs w:val="20"/>
        </w:rPr>
        <w:t>/</w:t>
      </w:r>
      <w:proofErr w:type="spellStart"/>
      <w:r w:rsidRPr="000B31B1">
        <w:rPr>
          <w:rFonts w:ascii="Times New Roman" w:hAnsi="Times New Roman" w:cs="Times New Roman"/>
          <w:sz w:val="20"/>
          <w:szCs w:val="20"/>
        </w:rPr>
        <w:t>LexUriServ.do</w:t>
      </w:r>
      <w:proofErr w:type="spellEnd"/>
      <w:r w:rsidRPr="000B31B1">
        <w:rPr>
          <w:rFonts w:ascii="Times New Roman" w:hAnsi="Times New Roman" w:cs="Times New Roman"/>
          <w:sz w:val="20"/>
          <w:szCs w:val="20"/>
        </w:rPr>
        <w:t>?</w:t>
      </w:r>
      <w:proofErr w:type="spellStart"/>
      <w:r w:rsidRPr="000B31B1">
        <w:rPr>
          <w:rFonts w:ascii="Times New Roman" w:hAnsi="Times New Roman" w:cs="Times New Roman"/>
          <w:sz w:val="20"/>
          <w:szCs w:val="20"/>
        </w:rPr>
        <w:t>uri=CELEX</w:t>
      </w:r>
      <w:proofErr w:type="spellEnd"/>
      <w:r w:rsidRPr="000B31B1">
        <w:rPr>
          <w:rFonts w:ascii="Times New Roman" w:hAnsi="Times New Roman" w:cs="Times New Roman"/>
          <w:sz w:val="20"/>
          <w:szCs w:val="20"/>
        </w:rPr>
        <w:t>:52013DC0175:EN:NOT</w:t>
      </w:r>
      <w:r>
        <w:rPr>
          <w:rFonts w:ascii="Times New Roman" w:hAnsi="Times New Roman" w:cs="Times New Roman"/>
          <w:sz w:val="20"/>
          <w:szCs w:val="20"/>
        </w:rPr>
        <w:t>.</w:t>
      </w:r>
    </w:p>
    <w:p w:rsidR="000B31B1" w:rsidRDefault="000B31B1" w:rsidP="008060E0">
      <w:pPr>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9. </w:t>
      </w:r>
      <w:proofErr w:type="spellStart"/>
      <w:r w:rsidRPr="000B31B1">
        <w:rPr>
          <w:rFonts w:ascii="Times New Roman" w:hAnsi="Times New Roman" w:cs="Times New Roman"/>
          <w:sz w:val="20"/>
          <w:szCs w:val="20"/>
        </w:rPr>
        <w:t>Energy</w:t>
      </w:r>
      <w:proofErr w:type="spellEnd"/>
      <w:r w:rsidRPr="000B31B1">
        <w:rPr>
          <w:rFonts w:ascii="Times New Roman" w:hAnsi="Times New Roman" w:cs="Times New Roman"/>
          <w:sz w:val="20"/>
          <w:szCs w:val="20"/>
        </w:rPr>
        <w:t xml:space="preserve"> </w:t>
      </w:r>
      <w:proofErr w:type="spellStart"/>
      <w:r w:rsidRPr="000B31B1">
        <w:rPr>
          <w:rFonts w:ascii="Times New Roman" w:hAnsi="Times New Roman" w:cs="Times New Roman"/>
          <w:sz w:val="20"/>
          <w:szCs w:val="20"/>
        </w:rPr>
        <w:t>Technology</w:t>
      </w:r>
      <w:proofErr w:type="spellEnd"/>
      <w:r w:rsidRPr="000B31B1">
        <w:rPr>
          <w:rFonts w:ascii="Times New Roman" w:hAnsi="Times New Roman" w:cs="Times New Roman"/>
          <w:sz w:val="20"/>
          <w:szCs w:val="20"/>
        </w:rPr>
        <w:t xml:space="preserve"> </w:t>
      </w:r>
      <w:proofErr w:type="spellStart"/>
      <w:r w:rsidRPr="000B31B1">
        <w:rPr>
          <w:rFonts w:ascii="Times New Roman" w:hAnsi="Times New Roman" w:cs="Times New Roman"/>
          <w:sz w:val="20"/>
          <w:szCs w:val="20"/>
        </w:rPr>
        <w:t>Perspectives</w:t>
      </w:r>
      <w:proofErr w:type="spellEnd"/>
      <w:r w:rsidRPr="000B31B1">
        <w:rPr>
          <w:rFonts w:ascii="Times New Roman" w:hAnsi="Times New Roman" w:cs="Times New Roman"/>
          <w:sz w:val="20"/>
          <w:szCs w:val="20"/>
        </w:rPr>
        <w:t xml:space="preserve"> 2010. </w:t>
      </w:r>
      <w:proofErr w:type="spellStart"/>
      <w:r w:rsidRPr="000B31B1">
        <w:rPr>
          <w:rFonts w:ascii="Times New Roman" w:hAnsi="Times New Roman" w:cs="Times New Roman"/>
          <w:sz w:val="20"/>
          <w:szCs w:val="20"/>
        </w:rPr>
        <w:t>Scenarios</w:t>
      </w:r>
      <w:proofErr w:type="spellEnd"/>
      <w:r w:rsidRPr="000B31B1">
        <w:rPr>
          <w:rFonts w:ascii="Times New Roman" w:hAnsi="Times New Roman" w:cs="Times New Roman"/>
          <w:sz w:val="20"/>
          <w:szCs w:val="20"/>
        </w:rPr>
        <w:t xml:space="preserve"> </w:t>
      </w:r>
      <w:proofErr w:type="spellStart"/>
      <w:r w:rsidRPr="000B31B1">
        <w:rPr>
          <w:rFonts w:ascii="Times New Roman" w:hAnsi="Times New Roman" w:cs="Times New Roman"/>
          <w:sz w:val="20"/>
          <w:szCs w:val="20"/>
        </w:rPr>
        <w:t>and</w:t>
      </w:r>
      <w:proofErr w:type="spellEnd"/>
      <w:r w:rsidRPr="000B31B1">
        <w:rPr>
          <w:rFonts w:ascii="Times New Roman" w:hAnsi="Times New Roman" w:cs="Times New Roman"/>
          <w:sz w:val="20"/>
          <w:szCs w:val="20"/>
        </w:rPr>
        <w:t xml:space="preserve"> </w:t>
      </w:r>
      <w:proofErr w:type="spellStart"/>
      <w:r w:rsidRPr="000B31B1">
        <w:rPr>
          <w:rFonts w:ascii="Times New Roman" w:hAnsi="Times New Roman" w:cs="Times New Roman"/>
          <w:sz w:val="20"/>
          <w:szCs w:val="20"/>
        </w:rPr>
        <w:t>Strategies</w:t>
      </w:r>
      <w:proofErr w:type="spellEnd"/>
      <w:r w:rsidRPr="000B31B1">
        <w:rPr>
          <w:rFonts w:ascii="Times New Roman" w:hAnsi="Times New Roman" w:cs="Times New Roman"/>
          <w:sz w:val="20"/>
          <w:szCs w:val="20"/>
        </w:rPr>
        <w:t xml:space="preserve"> </w:t>
      </w:r>
      <w:proofErr w:type="spellStart"/>
      <w:r w:rsidRPr="000B31B1">
        <w:rPr>
          <w:rFonts w:ascii="Times New Roman" w:hAnsi="Times New Roman" w:cs="Times New Roman"/>
          <w:sz w:val="20"/>
          <w:szCs w:val="20"/>
        </w:rPr>
        <w:t>to</w:t>
      </w:r>
      <w:proofErr w:type="spellEnd"/>
      <w:r w:rsidRPr="000B31B1">
        <w:rPr>
          <w:rFonts w:ascii="Times New Roman" w:hAnsi="Times New Roman" w:cs="Times New Roman"/>
          <w:sz w:val="20"/>
          <w:szCs w:val="20"/>
        </w:rPr>
        <w:t xml:space="preserve"> 2050 // </w:t>
      </w:r>
      <w:proofErr w:type="spellStart"/>
      <w:r w:rsidRPr="000B31B1">
        <w:rPr>
          <w:rFonts w:ascii="Times New Roman" w:hAnsi="Times New Roman" w:cs="Times New Roman"/>
          <w:sz w:val="20"/>
          <w:szCs w:val="20"/>
        </w:rPr>
        <w:t>International</w:t>
      </w:r>
      <w:proofErr w:type="spellEnd"/>
      <w:r w:rsidRPr="000B31B1">
        <w:rPr>
          <w:rFonts w:ascii="Times New Roman" w:hAnsi="Times New Roman" w:cs="Times New Roman"/>
          <w:sz w:val="20"/>
          <w:szCs w:val="20"/>
        </w:rPr>
        <w:t xml:space="preserve"> </w:t>
      </w:r>
      <w:proofErr w:type="spellStart"/>
      <w:r w:rsidRPr="000B31B1">
        <w:rPr>
          <w:rFonts w:ascii="Times New Roman" w:hAnsi="Times New Roman" w:cs="Times New Roman"/>
          <w:sz w:val="20"/>
          <w:szCs w:val="20"/>
        </w:rPr>
        <w:t>Energy</w:t>
      </w:r>
      <w:proofErr w:type="spellEnd"/>
      <w:r w:rsidRPr="000B31B1">
        <w:rPr>
          <w:rFonts w:ascii="Times New Roman" w:hAnsi="Times New Roman" w:cs="Times New Roman"/>
          <w:sz w:val="20"/>
          <w:szCs w:val="20"/>
        </w:rPr>
        <w:t xml:space="preserve"> </w:t>
      </w:r>
      <w:proofErr w:type="spellStart"/>
      <w:r w:rsidRPr="000B31B1">
        <w:rPr>
          <w:rFonts w:ascii="Times New Roman" w:hAnsi="Times New Roman" w:cs="Times New Roman"/>
          <w:sz w:val="20"/>
          <w:szCs w:val="20"/>
        </w:rPr>
        <w:t>Agency</w:t>
      </w:r>
      <w:proofErr w:type="spellEnd"/>
      <w:r w:rsidRPr="000B31B1">
        <w:rPr>
          <w:rFonts w:ascii="Times New Roman" w:hAnsi="Times New Roman" w:cs="Times New Roman"/>
          <w:sz w:val="20"/>
          <w:szCs w:val="20"/>
        </w:rPr>
        <w:t xml:space="preserve">. – 2010. – </w:t>
      </w:r>
      <w:proofErr w:type="spellStart"/>
      <w:r w:rsidRPr="000B31B1">
        <w:rPr>
          <w:rFonts w:ascii="Times New Roman" w:hAnsi="Times New Roman" w:cs="Times New Roman"/>
          <w:sz w:val="20"/>
          <w:szCs w:val="20"/>
        </w:rPr>
        <w:t>July</w:t>
      </w:r>
      <w:proofErr w:type="spellEnd"/>
      <w:r w:rsidRPr="000B31B1">
        <w:rPr>
          <w:rFonts w:ascii="Times New Roman" w:hAnsi="Times New Roman" w:cs="Times New Roman"/>
          <w:sz w:val="20"/>
          <w:szCs w:val="20"/>
        </w:rPr>
        <w:t xml:space="preserve"> [Електронний ресурс]. – Режим доступу: http:// </w:t>
      </w:r>
      <w:r w:rsidRPr="008060E0">
        <w:rPr>
          <w:rFonts w:ascii="Times New Roman" w:hAnsi="Times New Roman" w:cs="Times New Roman"/>
          <w:sz w:val="20"/>
          <w:szCs w:val="20"/>
        </w:rPr>
        <w:t>www.iea.org/publications/freepublications/publication/etp2010.pdf</w:t>
      </w:r>
    </w:p>
    <w:p w:rsidR="000B31B1" w:rsidRDefault="000B31B1" w:rsidP="008060E0">
      <w:pPr>
        <w:spacing w:line="240" w:lineRule="auto"/>
        <w:ind w:firstLine="0"/>
        <w:rPr>
          <w:rFonts w:ascii="Times New Roman" w:hAnsi="Times New Roman" w:cs="Times New Roman"/>
          <w:sz w:val="20"/>
          <w:szCs w:val="20"/>
        </w:rPr>
      </w:pPr>
      <w:r>
        <w:rPr>
          <w:rFonts w:ascii="Times New Roman" w:hAnsi="Times New Roman" w:cs="Times New Roman"/>
          <w:sz w:val="20"/>
          <w:szCs w:val="20"/>
        </w:rPr>
        <w:t>10.</w:t>
      </w:r>
      <w:r w:rsidRPr="000B31B1">
        <w:t xml:space="preserve"> </w:t>
      </w:r>
      <w:proofErr w:type="spellStart"/>
      <w:r w:rsidRPr="000B31B1">
        <w:rPr>
          <w:rFonts w:ascii="Times New Roman" w:hAnsi="Times New Roman" w:cs="Times New Roman"/>
          <w:sz w:val="20"/>
          <w:szCs w:val="20"/>
        </w:rPr>
        <w:t>World</w:t>
      </w:r>
      <w:proofErr w:type="spellEnd"/>
      <w:r w:rsidRPr="000B31B1">
        <w:rPr>
          <w:rFonts w:ascii="Times New Roman" w:hAnsi="Times New Roman" w:cs="Times New Roman"/>
          <w:sz w:val="20"/>
          <w:szCs w:val="20"/>
        </w:rPr>
        <w:t xml:space="preserve"> </w:t>
      </w:r>
      <w:proofErr w:type="spellStart"/>
      <w:r w:rsidRPr="000B31B1">
        <w:rPr>
          <w:rFonts w:ascii="Times New Roman" w:hAnsi="Times New Roman" w:cs="Times New Roman"/>
          <w:sz w:val="20"/>
          <w:szCs w:val="20"/>
        </w:rPr>
        <w:t>Energy</w:t>
      </w:r>
      <w:proofErr w:type="spellEnd"/>
      <w:r w:rsidRPr="000B31B1">
        <w:rPr>
          <w:rFonts w:ascii="Times New Roman" w:hAnsi="Times New Roman" w:cs="Times New Roman"/>
          <w:sz w:val="20"/>
          <w:szCs w:val="20"/>
        </w:rPr>
        <w:t xml:space="preserve"> </w:t>
      </w:r>
      <w:proofErr w:type="spellStart"/>
      <w:r w:rsidRPr="000B31B1">
        <w:rPr>
          <w:rFonts w:ascii="Times New Roman" w:hAnsi="Times New Roman" w:cs="Times New Roman"/>
          <w:sz w:val="20"/>
          <w:szCs w:val="20"/>
        </w:rPr>
        <w:t>Statistical</w:t>
      </w:r>
      <w:proofErr w:type="spellEnd"/>
      <w:r w:rsidRPr="000B31B1">
        <w:rPr>
          <w:rFonts w:ascii="Times New Roman" w:hAnsi="Times New Roman" w:cs="Times New Roman"/>
          <w:sz w:val="20"/>
          <w:szCs w:val="20"/>
        </w:rPr>
        <w:t xml:space="preserve"> </w:t>
      </w:r>
      <w:proofErr w:type="spellStart"/>
      <w:r w:rsidRPr="000B31B1">
        <w:rPr>
          <w:rFonts w:ascii="Times New Roman" w:hAnsi="Times New Roman" w:cs="Times New Roman"/>
          <w:sz w:val="20"/>
          <w:szCs w:val="20"/>
        </w:rPr>
        <w:t>Yearbook</w:t>
      </w:r>
      <w:proofErr w:type="spellEnd"/>
      <w:r w:rsidRPr="000B31B1">
        <w:rPr>
          <w:rFonts w:ascii="Times New Roman" w:hAnsi="Times New Roman" w:cs="Times New Roman"/>
          <w:sz w:val="20"/>
          <w:szCs w:val="20"/>
        </w:rPr>
        <w:t xml:space="preserve"> [Електронний ресурс] // </w:t>
      </w:r>
      <w:proofErr w:type="spellStart"/>
      <w:r w:rsidRPr="000B31B1">
        <w:rPr>
          <w:rFonts w:ascii="Times New Roman" w:hAnsi="Times New Roman" w:cs="Times New Roman"/>
          <w:sz w:val="20"/>
          <w:szCs w:val="20"/>
        </w:rPr>
        <w:t>Enerdata</w:t>
      </w:r>
      <w:proofErr w:type="spellEnd"/>
      <w:r w:rsidRPr="000B31B1">
        <w:rPr>
          <w:rFonts w:ascii="Times New Roman" w:hAnsi="Times New Roman" w:cs="Times New Roman"/>
          <w:sz w:val="20"/>
          <w:szCs w:val="20"/>
        </w:rPr>
        <w:t>. – 2018. – Режим доступу до ресурсу: https://yearbook.enerdata.net/.</w:t>
      </w:r>
    </w:p>
    <w:p w:rsidR="000B31B1" w:rsidRPr="003708BA" w:rsidRDefault="000B31B1" w:rsidP="00863F96">
      <w:pPr>
        <w:spacing w:line="240" w:lineRule="auto"/>
        <w:rPr>
          <w:rFonts w:ascii="Times New Roman" w:hAnsi="Times New Roman" w:cs="Times New Roman"/>
          <w:sz w:val="20"/>
          <w:szCs w:val="20"/>
        </w:rPr>
      </w:pPr>
    </w:p>
    <w:sectPr w:rsidR="000B31B1" w:rsidRPr="003708BA" w:rsidSect="000F15D1">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F2D" w:rsidRDefault="00DE2F2D" w:rsidP="00B61EA7">
      <w:pPr>
        <w:spacing w:line="240" w:lineRule="auto"/>
      </w:pPr>
      <w:r>
        <w:separator/>
      </w:r>
    </w:p>
  </w:endnote>
  <w:endnote w:type="continuationSeparator" w:id="0">
    <w:p w:rsidR="00DE2F2D" w:rsidRDefault="00DE2F2D" w:rsidP="00B61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F2D" w:rsidRDefault="00DE2F2D" w:rsidP="00B61EA7">
      <w:pPr>
        <w:spacing w:line="240" w:lineRule="auto"/>
      </w:pPr>
      <w:r>
        <w:separator/>
      </w:r>
    </w:p>
  </w:footnote>
  <w:footnote w:type="continuationSeparator" w:id="0">
    <w:p w:rsidR="00DE2F2D" w:rsidRDefault="00DE2F2D" w:rsidP="00B61EA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F78"/>
    <w:multiLevelType w:val="multilevel"/>
    <w:tmpl w:val="5102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31744"/>
    <w:multiLevelType w:val="hybridMultilevel"/>
    <w:tmpl w:val="A4502270"/>
    <w:lvl w:ilvl="0" w:tplc="0B7A932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E7C6ADC"/>
    <w:multiLevelType w:val="hybridMultilevel"/>
    <w:tmpl w:val="0E7612B2"/>
    <w:lvl w:ilvl="0" w:tplc="0AA26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EF7115"/>
    <w:multiLevelType w:val="hybridMultilevel"/>
    <w:tmpl w:val="8080568E"/>
    <w:lvl w:ilvl="0" w:tplc="0318EBB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BF428AD"/>
    <w:multiLevelType w:val="hybridMultilevel"/>
    <w:tmpl w:val="87F68FB4"/>
    <w:lvl w:ilvl="0" w:tplc="49B28C9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AC5E10"/>
    <w:multiLevelType w:val="hybridMultilevel"/>
    <w:tmpl w:val="4A70437C"/>
    <w:lvl w:ilvl="0" w:tplc="71D2002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A7"/>
    <w:rsid w:val="00000D28"/>
    <w:rsid w:val="00010398"/>
    <w:rsid w:val="00074532"/>
    <w:rsid w:val="0008713C"/>
    <w:rsid w:val="000B31B1"/>
    <w:rsid w:val="000C40C8"/>
    <w:rsid w:val="000F15D1"/>
    <w:rsid w:val="000F4375"/>
    <w:rsid w:val="001147F8"/>
    <w:rsid w:val="00133A49"/>
    <w:rsid w:val="00147A2C"/>
    <w:rsid w:val="00163B10"/>
    <w:rsid w:val="00166F5F"/>
    <w:rsid w:val="001A64EE"/>
    <w:rsid w:val="00240C34"/>
    <w:rsid w:val="00253B70"/>
    <w:rsid w:val="00262055"/>
    <w:rsid w:val="00277495"/>
    <w:rsid w:val="00297D45"/>
    <w:rsid w:val="002C048B"/>
    <w:rsid w:val="00320EFD"/>
    <w:rsid w:val="003708BA"/>
    <w:rsid w:val="003B1384"/>
    <w:rsid w:val="003E5597"/>
    <w:rsid w:val="0041725D"/>
    <w:rsid w:val="004433E1"/>
    <w:rsid w:val="00443613"/>
    <w:rsid w:val="00472A11"/>
    <w:rsid w:val="00474DF0"/>
    <w:rsid w:val="0047601E"/>
    <w:rsid w:val="00486113"/>
    <w:rsid w:val="004A12BE"/>
    <w:rsid w:val="004E4DEA"/>
    <w:rsid w:val="004E73F2"/>
    <w:rsid w:val="005832AA"/>
    <w:rsid w:val="005D0E8C"/>
    <w:rsid w:val="006205F3"/>
    <w:rsid w:val="0063539B"/>
    <w:rsid w:val="00643B30"/>
    <w:rsid w:val="00654DE0"/>
    <w:rsid w:val="00657E53"/>
    <w:rsid w:val="00676D68"/>
    <w:rsid w:val="00686CC2"/>
    <w:rsid w:val="006C69D8"/>
    <w:rsid w:val="006D2091"/>
    <w:rsid w:val="006F77F7"/>
    <w:rsid w:val="007009DB"/>
    <w:rsid w:val="007219DA"/>
    <w:rsid w:val="00725B31"/>
    <w:rsid w:val="00754831"/>
    <w:rsid w:val="00796054"/>
    <w:rsid w:val="007B30E1"/>
    <w:rsid w:val="007E167F"/>
    <w:rsid w:val="00805C05"/>
    <w:rsid w:val="008060E0"/>
    <w:rsid w:val="00822CFB"/>
    <w:rsid w:val="00863F96"/>
    <w:rsid w:val="008B7DB0"/>
    <w:rsid w:val="008C2E79"/>
    <w:rsid w:val="008C441B"/>
    <w:rsid w:val="008E6574"/>
    <w:rsid w:val="00906F16"/>
    <w:rsid w:val="009B0E32"/>
    <w:rsid w:val="009E48E5"/>
    <w:rsid w:val="009E589D"/>
    <w:rsid w:val="00A74D29"/>
    <w:rsid w:val="00A92B79"/>
    <w:rsid w:val="00B566D8"/>
    <w:rsid w:val="00B61EA7"/>
    <w:rsid w:val="00B73D70"/>
    <w:rsid w:val="00B77FD9"/>
    <w:rsid w:val="00B87AAF"/>
    <w:rsid w:val="00BB10E6"/>
    <w:rsid w:val="00BC7926"/>
    <w:rsid w:val="00BE16BA"/>
    <w:rsid w:val="00BE42E3"/>
    <w:rsid w:val="00C14A27"/>
    <w:rsid w:val="00C1700F"/>
    <w:rsid w:val="00C23E16"/>
    <w:rsid w:val="00C70A48"/>
    <w:rsid w:val="00CA302E"/>
    <w:rsid w:val="00D45AC5"/>
    <w:rsid w:val="00D562C9"/>
    <w:rsid w:val="00D72EF3"/>
    <w:rsid w:val="00DE2F2D"/>
    <w:rsid w:val="00E7675F"/>
    <w:rsid w:val="00EF2145"/>
    <w:rsid w:val="00EF4127"/>
    <w:rsid w:val="00F015B0"/>
    <w:rsid w:val="00F10836"/>
    <w:rsid w:val="00F1263E"/>
    <w:rsid w:val="00F6323E"/>
    <w:rsid w:val="00F67EE1"/>
    <w:rsid w:val="00F77BEA"/>
    <w:rsid w:val="00FE0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61EA7"/>
    <w:pPr>
      <w:spacing w:line="240" w:lineRule="auto"/>
    </w:pPr>
    <w:rPr>
      <w:sz w:val="20"/>
      <w:szCs w:val="20"/>
    </w:rPr>
  </w:style>
  <w:style w:type="character" w:customStyle="1" w:styleId="a4">
    <w:name w:val="Текст концевой сноски Знак"/>
    <w:basedOn w:val="a0"/>
    <w:link w:val="a3"/>
    <w:uiPriority w:val="99"/>
    <w:semiHidden/>
    <w:rsid w:val="00B61EA7"/>
    <w:rPr>
      <w:sz w:val="20"/>
      <w:szCs w:val="20"/>
      <w:lang w:val="uk-UA"/>
    </w:rPr>
  </w:style>
  <w:style w:type="character" w:styleId="a5">
    <w:name w:val="endnote reference"/>
    <w:basedOn w:val="a0"/>
    <w:uiPriority w:val="99"/>
    <w:semiHidden/>
    <w:unhideWhenUsed/>
    <w:rsid w:val="00B61EA7"/>
    <w:rPr>
      <w:vertAlign w:val="superscript"/>
    </w:rPr>
  </w:style>
  <w:style w:type="character" w:styleId="a6">
    <w:name w:val="Hyperlink"/>
    <w:basedOn w:val="a0"/>
    <w:uiPriority w:val="99"/>
    <w:unhideWhenUsed/>
    <w:rsid w:val="00B61EA7"/>
    <w:rPr>
      <w:color w:val="0000FF"/>
      <w:u w:val="single"/>
    </w:rPr>
  </w:style>
  <w:style w:type="paragraph" w:styleId="a7">
    <w:name w:val="List Paragraph"/>
    <w:basedOn w:val="a"/>
    <w:uiPriority w:val="34"/>
    <w:qFormat/>
    <w:rsid w:val="00796054"/>
    <w:pPr>
      <w:ind w:left="720"/>
      <w:contextualSpacing/>
    </w:pPr>
  </w:style>
  <w:style w:type="character" w:styleId="a8">
    <w:name w:val="FollowedHyperlink"/>
    <w:basedOn w:val="a0"/>
    <w:uiPriority w:val="99"/>
    <w:semiHidden/>
    <w:unhideWhenUsed/>
    <w:rsid w:val="00863F96"/>
    <w:rPr>
      <w:color w:val="954F72" w:themeColor="followedHyperlink"/>
      <w:u w:val="single"/>
    </w:rPr>
  </w:style>
  <w:style w:type="paragraph" w:styleId="a9">
    <w:name w:val="header"/>
    <w:basedOn w:val="a"/>
    <w:link w:val="aa"/>
    <w:uiPriority w:val="99"/>
    <w:unhideWhenUsed/>
    <w:rsid w:val="00D45AC5"/>
    <w:pPr>
      <w:tabs>
        <w:tab w:val="center" w:pos="4677"/>
        <w:tab w:val="right" w:pos="9355"/>
      </w:tabs>
      <w:spacing w:line="240" w:lineRule="auto"/>
    </w:pPr>
  </w:style>
  <w:style w:type="character" w:customStyle="1" w:styleId="aa">
    <w:name w:val="Верхний колонтитул Знак"/>
    <w:basedOn w:val="a0"/>
    <w:link w:val="a9"/>
    <w:uiPriority w:val="99"/>
    <w:rsid w:val="00D45AC5"/>
    <w:rPr>
      <w:lang w:val="uk-UA"/>
    </w:rPr>
  </w:style>
  <w:style w:type="paragraph" w:styleId="ab">
    <w:name w:val="footer"/>
    <w:basedOn w:val="a"/>
    <w:link w:val="ac"/>
    <w:uiPriority w:val="99"/>
    <w:unhideWhenUsed/>
    <w:rsid w:val="00D45AC5"/>
    <w:pPr>
      <w:tabs>
        <w:tab w:val="center" w:pos="4677"/>
        <w:tab w:val="right" w:pos="9355"/>
      </w:tabs>
      <w:spacing w:line="240" w:lineRule="auto"/>
    </w:pPr>
  </w:style>
  <w:style w:type="character" w:customStyle="1" w:styleId="ac">
    <w:name w:val="Нижний колонтитул Знак"/>
    <w:basedOn w:val="a0"/>
    <w:link w:val="ab"/>
    <w:uiPriority w:val="99"/>
    <w:rsid w:val="00D45AC5"/>
    <w:rPr>
      <w:lang w:val="uk-UA"/>
    </w:rPr>
  </w:style>
  <w:style w:type="paragraph" w:styleId="ad">
    <w:name w:val="Balloon Text"/>
    <w:basedOn w:val="a"/>
    <w:link w:val="ae"/>
    <w:uiPriority w:val="99"/>
    <w:semiHidden/>
    <w:unhideWhenUsed/>
    <w:rsid w:val="003708BA"/>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08BA"/>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61EA7"/>
    <w:pPr>
      <w:spacing w:line="240" w:lineRule="auto"/>
    </w:pPr>
    <w:rPr>
      <w:sz w:val="20"/>
      <w:szCs w:val="20"/>
    </w:rPr>
  </w:style>
  <w:style w:type="character" w:customStyle="1" w:styleId="a4">
    <w:name w:val="Текст концевой сноски Знак"/>
    <w:basedOn w:val="a0"/>
    <w:link w:val="a3"/>
    <w:uiPriority w:val="99"/>
    <w:semiHidden/>
    <w:rsid w:val="00B61EA7"/>
    <w:rPr>
      <w:sz w:val="20"/>
      <w:szCs w:val="20"/>
      <w:lang w:val="uk-UA"/>
    </w:rPr>
  </w:style>
  <w:style w:type="character" w:styleId="a5">
    <w:name w:val="endnote reference"/>
    <w:basedOn w:val="a0"/>
    <w:uiPriority w:val="99"/>
    <w:semiHidden/>
    <w:unhideWhenUsed/>
    <w:rsid w:val="00B61EA7"/>
    <w:rPr>
      <w:vertAlign w:val="superscript"/>
    </w:rPr>
  </w:style>
  <w:style w:type="character" w:styleId="a6">
    <w:name w:val="Hyperlink"/>
    <w:basedOn w:val="a0"/>
    <w:uiPriority w:val="99"/>
    <w:unhideWhenUsed/>
    <w:rsid w:val="00B61EA7"/>
    <w:rPr>
      <w:color w:val="0000FF"/>
      <w:u w:val="single"/>
    </w:rPr>
  </w:style>
  <w:style w:type="paragraph" w:styleId="a7">
    <w:name w:val="List Paragraph"/>
    <w:basedOn w:val="a"/>
    <w:uiPriority w:val="34"/>
    <w:qFormat/>
    <w:rsid w:val="00796054"/>
    <w:pPr>
      <w:ind w:left="720"/>
      <w:contextualSpacing/>
    </w:pPr>
  </w:style>
  <w:style w:type="character" w:styleId="a8">
    <w:name w:val="FollowedHyperlink"/>
    <w:basedOn w:val="a0"/>
    <w:uiPriority w:val="99"/>
    <w:semiHidden/>
    <w:unhideWhenUsed/>
    <w:rsid w:val="00863F96"/>
    <w:rPr>
      <w:color w:val="954F72" w:themeColor="followedHyperlink"/>
      <w:u w:val="single"/>
    </w:rPr>
  </w:style>
  <w:style w:type="paragraph" w:styleId="a9">
    <w:name w:val="header"/>
    <w:basedOn w:val="a"/>
    <w:link w:val="aa"/>
    <w:uiPriority w:val="99"/>
    <w:unhideWhenUsed/>
    <w:rsid w:val="00D45AC5"/>
    <w:pPr>
      <w:tabs>
        <w:tab w:val="center" w:pos="4677"/>
        <w:tab w:val="right" w:pos="9355"/>
      </w:tabs>
      <w:spacing w:line="240" w:lineRule="auto"/>
    </w:pPr>
  </w:style>
  <w:style w:type="character" w:customStyle="1" w:styleId="aa">
    <w:name w:val="Верхний колонтитул Знак"/>
    <w:basedOn w:val="a0"/>
    <w:link w:val="a9"/>
    <w:uiPriority w:val="99"/>
    <w:rsid w:val="00D45AC5"/>
    <w:rPr>
      <w:lang w:val="uk-UA"/>
    </w:rPr>
  </w:style>
  <w:style w:type="paragraph" w:styleId="ab">
    <w:name w:val="footer"/>
    <w:basedOn w:val="a"/>
    <w:link w:val="ac"/>
    <w:uiPriority w:val="99"/>
    <w:unhideWhenUsed/>
    <w:rsid w:val="00D45AC5"/>
    <w:pPr>
      <w:tabs>
        <w:tab w:val="center" w:pos="4677"/>
        <w:tab w:val="right" w:pos="9355"/>
      </w:tabs>
      <w:spacing w:line="240" w:lineRule="auto"/>
    </w:pPr>
  </w:style>
  <w:style w:type="character" w:customStyle="1" w:styleId="ac">
    <w:name w:val="Нижний колонтитул Знак"/>
    <w:basedOn w:val="a0"/>
    <w:link w:val="ab"/>
    <w:uiPriority w:val="99"/>
    <w:rsid w:val="00D45AC5"/>
    <w:rPr>
      <w:lang w:val="uk-UA"/>
    </w:rPr>
  </w:style>
  <w:style w:type="paragraph" w:styleId="ad">
    <w:name w:val="Balloon Text"/>
    <w:basedOn w:val="a"/>
    <w:link w:val="ae"/>
    <w:uiPriority w:val="99"/>
    <w:semiHidden/>
    <w:unhideWhenUsed/>
    <w:rsid w:val="003708BA"/>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08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18980">
      <w:bodyDiv w:val="1"/>
      <w:marLeft w:val="0"/>
      <w:marRight w:val="0"/>
      <w:marTop w:val="0"/>
      <w:marBottom w:val="0"/>
      <w:divBdr>
        <w:top w:val="none" w:sz="0" w:space="0" w:color="auto"/>
        <w:left w:val="none" w:sz="0" w:space="0" w:color="auto"/>
        <w:bottom w:val="none" w:sz="0" w:space="0" w:color="auto"/>
        <w:right w:val="none" w:sz="0" w:space="0" w:color="auto"/>
      </w:divBdr>
    </w:div>
    <w:div w:id="1285498818">
      <w:bodyDiv w:val="1"/>
      <w:marLeft w:val="0"/>
      <w:marRight w:val="0"/>
      <w:marTop w:val="0"/>
      <w:marBottom w:val="0"/>
      <w:divBdr>
        <w:top w:val="none" w:sz="0" w:space="0" w:color="auto"/>
        <w:left w:val="none" w:sz="0" w:space="0" w:color="auto"/>
        <w:bottom w:val="none" w:sz="0" w:space="0" w:color="auto"/>
        <w:right w:val="none" w:sz="0" w:space="0" w:color="auto"/>
      </w:divBdr>
    </w:div>
    <w:div w:id="1930961175">
      <w:bodyDiv w:val="1"/>
      <w:marLeft w:val="0"/>
      <w:marRight w:val="0"/>
      <w:marTop w:val="0"/>
      <w:marBottom w:val="0"/>
      <w:divBdr>
        <w:top w:val="none" w:sz="0" w:space="0" w:color="auto"/>
        <w:left w:val="none" w:sz="0" w:space="0" w:color="auto"/>
        <w:bottom w:val="none" w:sz="0" w:space="0" w:color="auto"/>
        <w:right w:val="none" w:sz="0" w:space="0" w:color="auto"/>
      </w:divBdr>
    </w:div>
    <w:div w:id="1998263806">
      <w:bodyDiv w:val="1"/>
      <w:marLeft w:val="0"/>
      <w:marRight w:val="0"/>
      <w:marTop w:val="0"/>
      <w:marBottom w:val="0"/>
      <w:divBdr>
        <w:top w:val="none" w:sz="0" w:space="0" w:color="auto"/>
        <w:left w:val="none" w:sz="0" w:space="0" w:color="auto"/>
        <w:bottom w:val="none" w:sz="0" w:space="0" w:color="auto"/>
        <w:right w:val="none" w:sz="0" w:space="0" w:color="auto"/>
      </w:divBdr>
    </w:div>
    <w:div w:id="201695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Viktoriya\AppData\Roaming\Microsoft\Excel\&#1074;&#1076;&#1077;%20(version%201).xlsb"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Viktoriya\AppData\Roaming\Microsoft\Excel\&#1074;&#1076;&#1077;%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Лист2!$B$10</c:f>
              <c:strCache>
                <c:ptCount val="1"/>
                <c:pt idx="0">
                  <c:v>33,6</c:v>
                </c:pt>
              </c:strCache>
            </c:strRef>
          </c:tx>
          <c:spPr>
            <a:solidFill>
              <a:schemeClr val="accent3"/>
            </a:solidFill>
            <a:ln>
              <a:noFill/>
            </a:ln>
            <a:effectLst/>
            <a:sp3d/>
          </c:spPr>
          <c:invertIfNegative val="0"/>
          <c:dLbls>
            <c:dLbl>
              <c:idx val="0"/>
              <c:layout>
                <c:manualLayout>
                  <c:x val="1.801801801801799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1AB-4BE1-B2AE-D96739479BAE}"/>
                </c:ext>
              </c:extLst>
            </c:dLbl>
            <c:dLbl>
              <c:idx val="1"/>
              <c:layout>
                <c:manualLayout>
                  <c:x val="9.0090090090090089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1AB-4BE1-B2AE-D96739479BAE}"/>
                </c:ext>
              </c:extLst>
            </c:dLbl>
            <c:dLbl>
              <c:idx val="2"/>
              <c:layout>
                <c:manualLayout>
                  <c:x val="1.3513513513513514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1AB-4BE1-B2AE-D96739479BAE}"/>
                </c:ext>
              </c:extLst>
            </c:dLbl>
            <c:dLbl>
              <c:idx val="3"/>
              <c:layout>
                <c:manualLayout>
                  <c:x val="9.0090090090090089E-3"/>
                  <c:y val="-1.85185185185185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1AB-4BE1-B2AE-D96739479BAE}"/>
                </c:ext>
              </c:extLst>
            </c:dLbl>
            <c:dLbl>
              <c:idx val="4"/>
              <c:layout>
                <c:manualLayout>
                  <c:x val="2.0270270270270351E-2"/>
                  <c:y val="-9.259259259259258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1AB-4BE1-B2AE-D96739479BAE}"/>
                </c:ext>
              </c:extLst>
            </c:dLbl>
            <c:dLbl>
              <c:idx val="5"/>
              <c:layout>
                <c:manualLayout>
                  <c:x val="2.0270270270270271E-2"/>
                  <c:y val="-9.259259259259217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1AB-4BE1-B2AE-D96739479B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Лист2!$C$5:$C$10</c:f>
              <c:strCache>
                <c:ptCount val="6"/>
                <c:pt idx="0">
                  <c:v>Африка</c:v>
                </c:pt>
                <c:pt idx="1">
                  <c:v>АТР</c:v>
                </c:pt>
                <c:pt idx="2">
                  <c:v>Латинська Америка</c:v>
                </c:pt>
                <c:pt idx="3">
                  <c:v>Північна Америка</c:v>
                </c:pt>
                <c:pt idx="4">
                  <c:v>СНД</c:v>
                </c:pt>
                <c:pt idx="5">
                  <c:v>Європа</c:v>
                </c:pt>
              </c:strCache>
            </c:strRef>
          </c:cat>
          <c:val>
            <c:numRef>
              <c:f>Лист2!$B$5:$B$10</c:f>
              <c:numCache>
                <c:formatCode>General</c:formatCode>
                <c:ptCount val="6"/>
                <c:pt idx="0">
                  <c:v>18.100000000000001</c:v>
                </c:pt>
                <c:pt idx="1">
                  <c:v>46.3</c:v>
                </c:pt>
                <c:pt idx="2">
                  <c:v>56</c:v>
                </c:pt>
                <c:pt idx="3">
                  <c:v>24.4</c:v>
                </c:pt>
                <c:pt idx="4">
                  <c:v>17.399999999999999</c:v>
                </c:pt>
                <c:pt idx="5">
                  <c:v>33.6</c:v>
                </c:pt>
              </c:numCache>
            </c:numRef>
          </c:val>
          <c:extLst xmlns:c16r2="http://schemas.microsoft.com/office/drawing/2015/06/chart">
            <c:ext xmlns:c16="http://schemas.microsoft.com/office/drawing/2014/chart" uri="{C3380CC4-5D6E-409C-BE32-E72D297353CC}">
              <c16:uniqueId val="{00000006-61AB-4BE1-B2AE-D96739479BAE}"/>
            </c:ext>
          </c:extLst>
        </c:ser>
        <c:dLbls>
          <c:showLegendKey val="0"/>
          <c:showVal val="0"/>
          <c:showCatName val="0"/>
          <c:showSerName val="0"/>
          <c:showPercent val="0"/>
          <c:showBubbleSize val="0"/>
        </c:dLbls>
        <c:gapWidth val="150"/>
        <c:shape val="box"/>
        <c:axId val="134959872"/>
        <c:axId val="134961408"/>
        <c:axId val="0"/>
      </c:bar3DChart>
      <c:catAx>
        <c:axId val="134959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34961408"/>
        <c:crosses val="autoZero"/>
        <c:auto val="1"/>
        <c:lblAlgn val="ctr"/>
        <c:lblOffset val="100"/>
        <c:noMultiLvlLbl val="0"/>
      </c:catAx>
      <c:valAx>
        <c:axId val="134961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4959872"/>
        <c:crosses val="autoZero"/>
        <c:crossBetween val="between"/>
      </c:valAx>
      <c:spPr>
        <a:noFill/>
        <a:ln>
          <a:noFill/>
        </a:ln>
        <a:effectLst/>
      </c:spPr>
    </c:plotArea>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3">
                  <a:shade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C77D-4029-BDE9-0974B9C527CC}"/>
              </c:ext>
            </c:extLst>
          </c:dPt>
          <c:dPt>
            <c:idx val="1"/>
            <c:bubble3D val="0"/>
            <c:spPr>
              <a:solidFill>
                <a:schemeClr val="accent3">
                  <a:shade val="7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C77D-4029-BDE9-0974B9C527CC}"/>
              </c:ext>
            </c:extLst>
          </c:dPt>
          <c:dPt>
            <c:idx val="2"/>
            <c:bubble3D val="0"/>
            <c:spPr>
              <a:solidFill>
                <a:schemeClr val="accent3">
                  <a:shade val="9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C77D-4029-BDE9-0974B9C527CC}"/>
              </c:ext>
            </c:extLst>
          </c:dPt>
          <c:dPt>
            <c:idx val="3"/>
            <c:bubble3D val="0"/>
            <c:spPr>
              <a:solidFill>
                <a:schemeClr val="accent3">
                  <a:tint val="9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C77D-4029-BDE9-0974B9C527CC}"/>
              </c:ext>
            </c:extLst>
          </c:dPt>
          <c:dPt>
            <c:idx val="4"/>
            <c:bubble3D val="0"/>
            <c:spPr>
              <a:solidFill>
                <a:schemeClr val="accent3">
                  <a:tint val="7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C77D-4029-BDE9-0974B9C527CC}"/>
              </c:ext>
            </c:extLst>
          </c:dPt>
          <c:dPt>
            <c:idx val="5"/>
            <c:bubble3D val="0"/>
            <c:spPr>
              <a:solidFill>
                <a:schemeClr val="accent3">
                  <a:tint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B-C77D-4029-BDE9-0974B9C527CC}"/>
              </c:ext>
            </c:extLst>
          </c:dPt>
          <c:dLbls>
            <c:dLbl>
              <c:idx val="0"/>
              <c:layout>
                <c:manualLayout>
                  <c:x val="-0.10600387573466577"/>
                  <c:y val="-2.6041535190345348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77D-4029-BDE9-0974B9C527CC}"/>
                </c:ext>
              </c:extLst>
            </c:dLbl>
            <c:dLbl>
              <c:idx val="2"/>
              <c:layout>
                <c:manualLayout>
                  <c:x val="-1.4138588559394108E-3"/>
                  <c:y val="-3.6567667019427749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77D-4029-BDE9-0974B9C527CC}"/>
                </c:ext>
              </c:extLst>
            </c:dLbl>
            <c:dLbl>
              <c:idx val="5"/>
              <c:layout>
                <c:manualLayout>
                  <c:x val="4.036638110628369E-2"/>
                  <c:y val="1.2330456226880395E-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77D-4029-BDE9-0974B9C527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ТЕС</c:v>
                </c:pt>
                <c:pt idx="1">
                  <c:v>ТЕЦ</c:v>
                </c:pt>
                <c:pt idx="2">
                  <c:v>ГАЕС</c:v>
                </c:pt>
                <c:pt idx="3">
                  <c:v>АЕС</c:v>
                </c:pt>
                <c:pt idx="4">
                  <c:v>ГЕС</c:v>
                </c:pt>
                <c:pt idx="5">
                  <c:v>ВДЕ</c:v>
                </c:pt>
              </c:strCache>
            </c:strRef>
          </c:cat>
          <c:val>
            <c:numRef>
              <c:f>Лист1!$B$2:$B$7</c:f>
              <c:numCache>
                <c:formatCode>General</c:formatCode>
                <c:ptCount val="6"/>
                <c:pt idx="0">
                  <c:v>50</c:v>
                </c:pt>
                <c:pt idx="1">
                  <c:v>12</c:v>
                </c:pt>
                <c:pt idx="2">
                  <c:v>3</c:v>
                </c:pt>
                <c:pt idx="3">
                  <c:v>25</c:v>
                </c:pt>
                <c:pt idx="4">
                  <c:v>8</c:v>
                </c:pt>
                <c:pt idx="5">
                  <c:v>2</c:v>
                </c:pt>
              </c:numCache>
            </c:numRef>
          </c:val>
          <c:extLst xmlns:c16r2="http://schemas.microsoft.com/office/drawing/2015/06/chart">
            <c:ext xmlns:c16="http://schemas.microsoft.com/office/drawing/2014/chart" uri="{C3380CC4-5D6E-409C-BE32-E72D297353CC}">
              <c16:uniqueId val="{0000000C-C77D-4029-BDE9-0974B9C527CC}"/>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1"/>
          <c:order val="0"/>
          <c:spPr>
            <a:ln w="28575" cap="rnd">
              <a:solidFill>
                <a:schemeClr val="tx1"/>
              </a:solidFill>
              <a:round/>
            </a:ln>
            <a:effectLst/>
          </c:spPr>
          <c:marker>
            <c:symbol val="circle"/>
            <c:size val="5"/>
            <c:spPr>
              <a:solidFill>
                <a:schemeClr val="accent5">
                  <a:shade val="76000"/>
                </a:schemeClr>
              </a:solidFill>
              <a:ln w="9525">
                <a:solidFill>
                  <a:schemeClr val="accent5">
                    <a:shade val="76000"/>
                  </a:schemeClr>
                </a:solidFill>
              </a:ln>
              <a:effectLst/>
            </c:spPr>
          </c:marker>
          <c:dLbls>
            <c:dLbl>
              <c:idx val="0"/>
              <c:layout>
                <c:manualLayout>
                  <c:x val="-4.1666666666666664E-2"/>
                  <c:y val="-4.1666666666666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262-4276-B96D-01633C337B75}"/>
                </c:ext>
              </c:extLst>
            </c:dLbl>
            <c:dLbl>
              <c:idx val="1"/>
              <c:layout>
                <c:manualLayout>
                  <c:x val="-4.4444444444444446E-2"/>
                  <c:y val="-5.55555555555555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262-4276-B96D-01633C337B75}"/>
                </c:ext>
              </c:extLst>
            </c:dLbl>
            <c:dLbl>
              <c:idx val="2"/>
              <c:layout>
                <c:manualLayout>
                  <c:x val="-3.6111111111111108E-2"/>
                  <c:y val="-5.09259259259259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262-4276-B96D-01633C337B75}"/>
                </c:ext>
              </c:extLst>
            </c:dLbl>
            <c:dLbl>
              <c:idx val="3"/>
              <c:layout>
                <c:manualLayout>
                  <c:x val="-3.3333333333333437E-2"/>
                  <c:y val="-6.01851851851851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262-4276-B96D-01633C337B75}"/>
                </c:ext>
              </c:extLst>
            </c:dLbl>
            <c:dLbl>
              <c:idx val="4"/>
              <c:layout>
                <c:manualLayout>
                  <c:x val="-4.7830015084786202E-2"/>
                  <c:y val="-6.94444444444444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262-4276-B96D-01633C337B75}"/>
                </c:ext>
              </c:extLst>
            </c:dLbl>
            <c:dLbl>
              <c:idx val="5"/>
              <c:layout>
                <c:manualLayout>
                  <c:x val="-2.5000000000000102E-2"/>
                  <c:y val="-6.94444444444444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262-4276-B96D-01633C337B7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Лист3!$C$6:$C$11</c:f>
              <c:numCache>
                <c:formatCode>General</c:formatCode>
                <c:ptCount val="6"/>
                <c:pt idx="0">
                  <c:v>2011</c:v>
                </c:pt>
                <c:pt idx="1">
                  <c:v>2012</c:v>
                </c:pt>
                <c:pt idx="2">
                  <c:v>2013</c:v>
                </c:pt>
                <c:pt idx="3">
                  <c:v>2014</c:v>
                </c:pt>
                <c:pt idx="4">
                  <c:v>2015</c:v>
                </c:pt>
                <c:pt idx="5">
                  <c:v>2016</c:v>
                </c:pt>
              </c:numCache>
            </c:numRef>
          </c:cat>
          <c:val>
            <c:numRef>
              <c:f>Лист3!$D$6:$D$11</c:f>
              <c:numCache>
                <c:formatCode>General</c:formatCode>
                <c:ptCount val="6"/>
                <c:pt idx="0">
                  <c:v>103</c:v>
                </c:pt>
                <c:pt idx="1">
                  <c:v>138</c:v>
                </c:pt>
                <c:pt idx="2">
                  <c:v>199</c:v>
                </c:pt>
                <c:pt idx="3">
                  <c:v>199</c:v>
                </c:pt>
                <c:pt idx="4">
                  <c:v>227</c:v>
                </c:pt>
                <c:pt idx="5">
                  <c:v>291</c:v>
                </c:pt>
              </c:numCache>
            </c:numRef>
          </c:val>
          <c:smooth val="0"/>
          <c:extLst xmlns:c16r2="http://schemas.microsoft.com/office/drawing/2015/06/chart">
            <c:ext xmlns:c16="http://schemas.microsoft.com/office/drawing/2014/chart" uri="{C3380CC4-5D6E-409C-BE32-E72D297353CC}">
              <c16:uniqueId val="{00000006-D262-4276-B96D-01633C337B75}"/>
            </c:ext>
          </c:extLst>
        </c:ser>
        <c:dLbls>
          <c:showLegendKey val="0"/>
          <c:showVal val="0"/>
          <c:showCatName val="0"/>
          <c:showSerName val="0"/>
          <c:showPercent val="0"/>
          <c:showBubbleSize val="0"/>
        </c:dLbls>
        <c:marker val="1"/>
        <c:smooth val="0"/>
        <c:axId val="134972928"/>
        <c:axId val="134974464"/>
      </c:lineChart>
      <c:catAx>
        <c:axId val="13497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4974464"/>
        <c:crosses val="autoZero"/>
        <c:auto val="1"/>
        <c:lblAlgn val="ctr"/>
        <c:lblOffset val="100"/>
        <c:noMultiLvlLbl val="0"/>
      </c:catAx>
      <c:valAx>
        <c:axId val="13497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4972928"/>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B2616-35EF-4975-BC28-6B704B6E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14415</Words>
  <Characters>8218</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Viktoriya</dc:creator>
  <cp:lastModifiedBy>~</cp:lastModifiedBy>
  <cp:revision>2</cp:revision>
  <dcterms:created xsi:type="dcterms:W3CDTF">2019-04-11T05:36:00Z</dcterms:created>
  <dcterms:modified xsi:type="dcterms:W3CDTF">2019-04-11T05:36:00Z</dcterms:modified>
</cp:coreProperties>
</file>